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4F" w:rsidRDefault="008C264F" w:rsidP="008C264F">
      <w:pPr>
        <w:tabs>
          <w:tab w:val="left" w:pos="562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2542794</wp:posOffset>
            </wp:positionH>
            <wp:positionV relativeFrom="paragraph">
              <wp:posOffset>-226771</wp:posOffset>
            </wp:positionV>
            <wp:extent cx="762407" cy="1068019"/>
            <wp:effectExtent l="19050" t="0" r="0" b="0"/>
            <wp:wrapNone/>
            <wp:docPr id="203" name="Picture 2" descr="logo Transparent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e cop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407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64F" w:rsidRDefault="008C264F" w:rsidP="008C264F">
      <w:pPr>
        <w:pBdr>
          <w:bottom w:val="single" w:sz="12" w:space="1" w:color="auto"/>
        </w:pBdr>
      </w:pPr>
    </w:p>
    <w:p w:rsidR="008C264F" w:rsidRDefault="008C264F" w:rsidP="008C264F">
      <w:pPr>
        <w:pBdr>
          <w:bottom w:val="single" w:sz="12" w:space="1" w:color="auto"/>
        </w:pBdr>
        <w:jc w:val="center"/>
      </w:pPr>
    </w:p>
    <w:p w:rsidR="008C264F" w:rsidRDefault="008C264F" w:rsidP="008C264F">
      <w:pPr>
        <w:pBdr>
          <w:bottom w:val="single" w:sz="12" w:space="1" w:color="auto"/>
        </w:pBdr>
      </w:pPr>
    </w:p>
    <w:p w:rsidR="008C264F" w:rsidRDefault="008C264F" w:rsidP="008C264F">
      <w:pPr>
        <w:jc w:val="center"/>
        <w:outlineLvl w:val="0"/>
        <w:rPr>
          <w:rFonts w:ascii="Arial" w:hAnsi="Arial" w:cs="Arial"/>
          <w:b/>
        </w:rPr>
      </w:pPr>
    </w:p>
    <w:p w:rsidR="008C264F" w:rsidRDefault="008C264F" w:rsidP="008C264F">
      <w:pPr>
        <w:jc w:val="center"/>
        <w:outlineLvl w:val="0"/>
        <w:rPr>
          <w:rFonts w:ascii="Arial" w:hAnsi="Arial" w:cs="Arial"/>
          <w:b/>
        </w:rPr>
      </w:pPr>
      <w:r w:rsidRPr="00F21B4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 xml:space="preserve">  </w:t>
      </w:r>
      <w:r w:rsidRPr="00F21B4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E </w:t>
      </w:r>
      <w:r w:rsidRPr="00F21B4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F21B4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Ë</w:t>
      </w:r>
    </w:p>
    <w:p w:rsidR="008C264F" w:rsidRDefault="008C264F" w:rsidP="008C264F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:rsidR="008C264F" w:rsidRDefault="008C264F" w:rsidP="008C264F">
      <w:pPr>
        <w:jc w:val="center"/>
        <w:rPr>
          <w:rFonts w:ascii="Times New Roman" w:hAnsi="Times New Roman" w:cs="Times New Roman"/>
          <w:b/>
          <w:sz w:val="28"/>
        </w:rPr>
      </w:pPr>
    </w:p>
    <w:p w:rsidR="008C264F" w:rsidRDefault="008C264F" w:rsidP="008C264F">
      <w:pPr>
        <w:rPr>
          <w:rFonts w:ascii="Times New Roman" w:hAnsi="Times New Roman" w:cs="Times New Roman"/>
        </w:rPr>
      </w:pPr>
      <w:proofErr w:type="gramStart"/>
      <w:r w:rsidRPr="00EE4379">
        <w:rPr>
          <w:rFonts w:ascii="Times New Roman" w:hAnsi="Times New Roman" w:cs="Times New Roman"/>
        </w:rPr>
        <w:t>Nr._____prot.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Kamëz, më ____.____2019</w:t>
      </w:r>
    </w:p>
    <w:p w:rsidR="007772DB" w:rsidRDefault="007772DB" w:rsidP="007772DB">
      <w:pPr>
        <w:jc w:val="both"/>
      </w:pPr>
    </w:p>
    <w:p w:rsidR="007772DB" w:rsidRPr="00615800" w:rsidRDefault="007772DB" w:rsidP="007772D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C7473" w:rsidRDefault="000C7473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C7473" w:rsidRDefault="000C7473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642EC" w:rsidRPr="00BF7B4B" w:rsidRDefault="00783EF3" w:rsidP="00B84FB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highlight w:val="lightGray"/>
        </w:rPr>
      </w:pPr>
      <w:r w:rsidRPr="00BF7B4B">
        <w:rPr>
          <w:rFonts w:ascii="Times New Roman" w:hAnsi="Times New Roman" w:cs="Times New Roman"/>
          <w:b/>
          <w:highlight w:val="lightGray"/>
        </w:rPr>
        <w:t>RRE</w:t>
      </w:r>
      <w:r w:rsidR="007642EC" w:rsidRPr="00BF7B4B">
        <w:rPr>
          <w:rFonts w:ascii="Times New Roman" w:hAnsi="Times New Roman" w:cs="Times New Roman"/>
          <w:b/>
          <w:highlight w:val="lightGray"/>
        </w:rPr>
        <w:t>GULLORE</w:t>
      </w:r>
      <w:r w:rsidR="004F1FE1" w:rsidRPr="00BF7B4B">
        <w:rPr>
          <w:rFonts w:ascii="Times New Roman" w:hAnsi="Times New Roman" w:cs="Times New Roman"/>
          <w:b/>
          <w:highlight w:val="lightGray"/>
        </w:rPr>
        <w:t xml:space="preserve"> </w:t>
      </w:r>
    </w:p>
    <w:p w:rsidR="00B0690C" w:rsidRPr="007642EC" w:rsidRDefault="00783EF3" w:rsidP="00B84FB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BF7B4B">
        <w:rPr>
          <w:rFonts w:ascii="Times New Roman" w:hAnsi="Times New Roman" w:cs="Times New Roman"/>
          <w:b/>
          <w:highlight w:val="lightGray"/>
        </w:rPr>
        <w:t>P</w:t>
      </w:r>
      <w:r w:rsidR="00827933" w:rsidRPr="00BF7B4B">
        <w:rPr>
          <w:rFonts w:ascii="Times New Roman" w:hAnsi="Times New Roman" w:cs="Times New Roman"/>
          <w:b/>
          <w:highlight w:val="lightGray"/>
        </w:rPr>
        <w:t>Ë</w:t>
      </w:r>
      <w:r w:rsidR="0095180A" w:rsidRPr="00BF7B4B">
        <w:rPr>
          <w:rFonts w:ascii="Times New Roman" w:hAnsi="Times New Roman" w:cs="Times New Roman"/>
          <w:b/>
          <w:highlight w:val="lightGray"/>
        </w:rPr>
        <w:t>R HETIMIN ADMINISTRATIV</w:t>
      </w:r>
      <w:r w:rsidRPr="00BF7B4B">
        <w:rPr>
          <w:rFonts w:ascii="Times New Roman" w:hAnsi="Times New Roman" w:cs="Times New Roman"/>
          <w:b/>
          <w:highlight w:val="lightGray"/>
        </w:rPr>
        <w:t xml:space="preserve"> T</w:t>
      </w:r>
      <w:r w:rsidR="00827933" w:rsidRPr="00BF7B4B">
        <w:rPr>
          <w:rFonts w:ascii="Times New Roman" w:hAnsi="Times New Roman" w:cs="Times New Roman"/>
          <w:b/>
          <w:highlight w:val="lightGray"/>
        </w:rPr>
        <w:t>Ë</w:t>
      </w:r>
      <w:r w:rsidRPr="00BF7B4B">
        <w:rPr>
          <w:rFonts w:ascii="Times New Roman" w:hAnsi="Times New Roman" w:cs="Times New Roman"/>
          <w:b/>
          <w:highlight w:val="lightGray"/>
        </w:rPr>
        <w:t xml:space="preserve"> </w:t>
      </w:r>
      <w:r w:rsidR="009F27B6" w:rsidRPr="00BF7B4B">
        <w:rPr>
          <w:rFonts w:ascii="Times New Roman" w:hAnsi="Times New Roman" w:cs="Times New Roman"/>
          <w:b/>
          <w:highlight w:val="lightGray"/>
        </w:rPr>
        <w:t>K</w:t>
      </w:r>
      <w:r w:rsidR="00D30FBC" w:rsidRPr="00BF7B4B">
        <w:rPr>
          <w:rFonts w:ascii="Times New Roman" w:hAnsi="Times New Roman" w:cs="Times New Roman"/>
          <w:b/>
          <w:highlight w:val="lightGray"/>
        </w:rPr>
        <w:t>Ë</w:t>
      </w:r>
      <w:r w:rsidR="009F27B6" w:rsidRPr="00BF7B4B">
        <w:rPr>
          <w:rFonts w:ascii="Times New Roman" w:hAnsi="Times New Roman" w:cs="Times New Roman"/>
          <w:b/>
          <w:highlight w:val="lightGray"/>
        </w:rPr>
        <w:t>RKES</w:t>
      </w:r>
      <w:r w:rsidR="00D30FBC" w:rsidRPr="00BF7B4B">
        <w:rPr>
          <w:rFonts w:ascii="Times New Roman" w:hAnsi="Times New Roman" w:cs="Times New Roman"/>
          <w:b/>
          <w:highlight w:val="lightGray"/>
        </w:rPr>
        <w:t>Ë</w:t>
      </w:r>
      <w:r w:rsidR="009F27B6" w:rsidRPr="00BF7B4B">
        <w:rPr>
          <w:rFonts w:ascii="Times New Roman" w:hAnsi="Times New Roman" w:cs="Times New Roman"/>
          <w:b/>
          <w:highlight w:val="lightGray"/>
        </w:rPr>
        <w:t>S S</w:t>
      </w:r>
      <w:r w:rsidR="00D30FBC" w:rsidRPr="00BF7B4B">
        <w:rPr>
          <w:rFonts w:ascii="Times New Roman" w:hAnsi="Times New Roman" w:cs="Times New Roman"/>
          <w:b/>
          <w:highlight w:val="lightGray"/>
        </w:rPr>
        <w:t>Ë</w:t>
      </w:r>
      <w:r w:rsidR="009F27B6" w:rsidRPr="00BF7B4B">
        <w:rPr>
          <w:rFonts w:ascii="Times New Roman" w:hAnsi="Times New Roman" w:cs="Times New Roman"/>
          <w:b/>
          <w:highlight w:val="lightGray"/>
        </w:rPr>
        <w:t xml:space="preserve"> SINJALIZUESIT P</w:t>
      </w:r>
      <w:r w:rsidR="00D30FBC" w:rsidRPr="00BF7B4B">
        <w:rPr>
          <w:rFonts w:ascii="Times New Roman" w:hAnsi="Times New Roman" w:cs="Times New Roman"/>
          <w:b/>
          <w:highlight w:val="lightGray"/>
        </w:rPr>
        <w:t>Ë</w:t>
      </w:r>
      <w:r w:rsidR="009F27B6" w:rsidRPr="00BF7B4B">
        <w:rPr>
          <w:rFonts w:ascii="Times New Roman" w:hAnsi="Times New Roman" w:cs="Times New Roman"/>
          <w:b/>
          <w:highlight w:val="lightGray"/>
        </w:rPr>
        <w:t xml:space="preserve">R MBROJTJEN NGA HAKMARRJA </w:t>
      </w:r>
      <w:r w:rsidR="007642EC" w:rsidRPr="00BF7B4B">
        <w:rPr>
          <w:rFonts w:ascii="Times New Roman" w:hAnsi="Times New Roman" w:cs="Times New Roman"/>
          <w:b/>
          <w:highlight w:val="lightGray"/>
        </w:rPr>
        <w:t xml:space="preserve">NË </w:t>
      </w:r>
      <w:r w:rsidR="007772DB" w:rsidRPr="00BF7B4B">
        <w:rPr>
          <w:rFonts w:ascii="Times New Roman" w:hAnsi="Times New Roman" w:cs="Times New Roman"/>
          <w:b/>
          <w:highlight w:val="lightGray"/>
        </w:rPr>
        <w:t>BASHKIN</w:t>
      </w:r>
      <w:r w:rsidR="00131D3F" w:rsidRPr="00BF7B4B">
        <w:rPr>
          <w:rFonts w:ascii="Times New Roman" w:hAnsi="Times New Roman" w:cs="Times New Roman"/>
          <w:b/>
          <w:highlight w:val="lightGray"/>
        </w:rPr>
        <w:t>Ë</w:t>
      </w:r>
      <w:r w:rsidR="007772DB" w:rsidRPr="00BF7B4B">
        <w:rPr>
          <w:rFonts w:ascii="Times New Roman" w:hAnsi="Times New Roman" w:cs="Times New Roman"/>
          <w:b/>
          <w:highlight w:val="lightGray"/>
        </w:rPr>
        <w:t xml:space="preserve"> KAM</w:t>
      </w:r>
      <w:r w:rsidR="00131D3F" w:rsidRPr="00BF7B4B">
        <w:rPr>
          <w:rFonts w:ascii="Times New Roman" w:hAnsi="Times New Roman" w:cs="Times New Roman"/>
          <w:b/>
          <w:highlight w:val="lightGray"/>
        </w:rPr>
        <w:t>Ë</w:t>
      </w:r>
      <w:r w:rsidR="007772DB" w:rsidRPr="00BF7B4B">
        <w:rPr>
          <w:rFonts w:ascii="Times New Roman" w:hAnsi="Times New Roman" w:cs="Times New Roman"/>
          <w:b/>
          <w:highlight w:val="lightGray"/>
        </w:rPr>
        <w:t>Z</w:t>
      </w:r>
    </w:p>
    <w:p w:rsidR="00B66880" w:rsidRDefault="00B66880" w:rsidP="00884745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9F27B6" w:rsidRDefault="009F27B6" w:rsidP="00884745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642EC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84745" w:rsidRDefault="00884745" w:rsidP="0088474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884745" w:rsidRDefault="001812D0" w:rsidP="00BF7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Kam</w:t>
      </w:r>
      <w:r w:rsidRPr="001812D0">
        <w:rPr>
          <w:rFonts w:ascii="Times New Roman" w:eastAsia="Times New Roman" w:hAnsi="Times New Roman" w:cs="Times New Roman"/>
          <w:b/>
          <w:bCs/>
          <w:i/>
          <w:spacing w:val="2"/>
        </w:rPr>
        <w:t>ë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z</w:t>
      </w:r>
      <w:r w:rsidR="007642EC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______</w:t>
      </w:r>
      <w:r w:rsidR="007642EC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="007772DB">
        <w:rPr>
          <w:rFonts w:ascii="Times New Roman" w:eastAsia="Times New Roman" w:hAnsi="Times New Roman" w:cs="Times New Roman"/>
          <w:b/>
          <w:bCs/>
          <w:i/>
          <w:spacing w:val="2"/>
        </w:rPr>
        <w:t>201</w:t>
      </w:r>
      <w:r w:rsidR="008C264F">
        <w:rPr>
          <w:rFonts w:ascii="Times New Roman" w:eastAsia="Times New Roman" w:hAnsi="Times New Roman" w:cs="Times New Roman"/>
          <w:b/>
          <w:bCs/>
          <w:i/>
          <w:spacing w:val="2"/>
        </w:rPr>
        <w:t>9</w:t>
      </w:r>
    </w:p>
    <w:p w:rsidR="000C7473" w:rsidRDefault="000C7473" w:rsidP="00BF7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0C7473" w:rsidRDefault="000C7473" w:rsidP="00BF7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0C7473" w:rsidRDefault="000C7473" w:rsidP="00BF7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0C7473" w:rsidRPr="00BF7B4B" w:rsidRDefault="000C7473" w:rsidP="00BF7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spacing w:val="2"/>
        </w:rPr>
      </w:pPr>
    </w:p>
    <w:p w:rsidR="007642EC" w:rsidRPr="002A53B2" w:rsidRDefault="007642EC" w:rsidP="00884745">
      <w:pPr>
        <w:spacing w:line="276" w:lineRule="auto"/>
        <w:jc w:val="center"/>
        <w:rPr>
          <w:rFonts w:ascii="Times New Roman" w:eastAsia="Times New Roman" w:hAnsi="Times New Roman" w:cs="Times New Roman"/>
          <w:bCs/>
          <w:spacing w:val="2"/>
        </w:rPr>
      </w:pPr>
      <w:r w:rsidRPr="002A53B2">
        <w:rPr>
          <w:rFonts w:ascii="Times New Roman" w:eastAsia="Times New Roman" w:hAnsi="Times New Roman" w:cs="Times New Roman"/>
          <w:bCs/>
          <w:spacing w:val="2"/>
        </w:rPr>
        <w:t>KREU I</w:t>
      </w:r>
    </w:p>
    <w:p w:rsidR="007642EC" w:rsidRPr="002A53B2" w:rsidRDefault="007642EC" w:rsidP="00884745">
      <w:pPr>
        <w:spacing w:line="276" w:lineRule="auto"/>
        <w:jc w:val="center"/>
        <w:rPr>
          <w:rFonts w:ascii="Times New Roman" w:eastAsia="Times New Roman" w:hAnsi="Times New Roman" w:cs="Times New Roman"/>
          <w:spacing w:val="2"/>
        </w:rPr>
      </w:pPr>
      <w:r w:rsidRPr="002A53B2">
        <w:rPr>
          <w:rFonts w:ascii="Times New Roman" w:eastAsia="Times New Roman" w:hAnsi="Times New Roman" w:cs="Times New Roman"/>
          <w:bCs/>
          <w:spacing w:val="2"/>
        </w:rPr>
        <w:t>RREGULLA TË PËRGJITHSHME</w:t>
      </w:r>
    </w:p>
    <w:p w:rsidR="007642EC" w:rsidRPr="002A53B2" w:rsidRDefault="007642E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</w:p>
    <w:p w:rsidR="00CE18DF" w:rsidRPr="007642EC" w:rsidRDefault="00B0690C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Neni 1</w:t>
      </w:r>
    </w:p>
    <w:p w:rsidR="00B0690C" w:rsidRPr="007642EC" w:rsidRDefault="00850E20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Baza ligjore</w:t>
      </w:r>
    </w:p>
    <w:p w:rsidR="00783EF3" w:rsidRPr="007642EC" w:rsidRDefault="00783EF3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850E20" w:rsidRDefault="00850E20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50E20">
        <w:rPr>
          <w:rFonts w:ascii="Times New Roman" w:hAnsi="Times New Roman" w:cs="Times New Roman"/>
        </w:rPr>
        <w:t>Rregullorja për hetimin administrativ të kërkesës së sinjalizuesit për mbrojtjen nga hakmar</w:t>
      </w:r>
      <w:r>
        <w:rPr>
          <w:rFonts w:ascii="Times New Roman" w:hAnsi="Times New Roman" w:cs="Times New Roman"/>
        </w:rPr>
        <w:t xml:space="preserve">rja në </w:t>
      </w:r>
      <w:r w:rsidR="007772DB">
        <w:rPr>
          <w:rFonts w:ascii="Times New Roman" w:hAnsi="Times New Roman" w:cs="Times New Roman"/>
        </w:rPr>
        <w:t>Bashkine Kamez</w:t>
      </w:r>
      <w:r>
        <w:rPr>
          <w:rFonts w:ascii="Times New Roman" w:hAnsi="Times New Roman" w:cs="Times New Roman"/>
        </w:rPr>
        <w:t xml:space="preserve">, bazohet në </w:t>
      </w:r>
      <w:r w:rsidRPr="007642EC">
        <w:rPr>
          <w:rFonts w:ascii="Times New Roman" w:hAnsi="Times New Roman" w:cs="Times New Roman"/>
        </w:rPr>
        <w:t>ligji</w:t>
      </w:r>
      <w:r>
        <w:rPr>
          <w:rFonts w:ascii="Times New Roman" w:hAnsi="Times New Roman" w:cs="Times New Roman"/>
        </w:rPr>
        <w:t>n</w:t>
      </w:r>
      <w:r w:rsidRPr="007642EC">
        <w:rPr>
          <w:rFonts w:ascii="Times New Roman" w:hAnsi="Times New Roman" w:cs="Times New Roman"/>
        </w:rPr>
        <w:t xml:space="preserve"> nr.</w:t>
      </w:r>
      <w:proofErr w:type="gramEnd"/>
      <w:r w:rsidRPr="007642EC">
        <w:rPr>
          <w:rFonts w:ascii="Times New Roman" w:hAnsi="Times New Roman" w:cs="Times New Roman"/>
        </w:rPr>
        <w:t xml:space="preserve"> 60/2016 “</w:t>
      </w:r>
      <w:r w:rsidRPr="00EE00A8">
        <w:rPr>
          <w:rFonts w:ascii="Times New Roman" w:hAnsi="Times New Roman" w:cs="Times New Roman"/>
          <w:i/>
        </w:rPr>
        <w:t>Për sinjalizimin dhe mbrojtjen e sinjalizuesve</w:t>
      </w:r>
      <w:r w:rsidRPr="007642E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Kodin e Procedurave </w:t>
      </w:r>
      <w:r w:rsidRPr="00850E20">
        <w:rPr>
          <w:rFonts w:ascii="Times New Roman" w:hAnsi="Times New Roman" w:cs="Times New Roman"/>
        </w:rPr>
        <w:t xml:space="preserve">Administrative, si dhe </w:t>
      </w:r>
      <w:r>
        <w:rPr>
          <w:rFonts w:ascii="Times New Roman" w:hAnsi="Times New Roman" w:cs="Times New Roman"/>
        </w:rPr>
        <w:t xml:space="preserve">në bazë të urdhërave, udhëzimeve </w:t>
      </w:r>
      <w:r w:rsidRPr="00850E20">
        <w:rPr>
          <w:rFonts w:ascii="Times New Roman" w:hAnsi="Times New Roman" w:cs="Times New Roman"/>
        </w:rPr>
        <w:t>dhe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akteve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të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tjera   nënligjore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të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miratuara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nga</w:t>
      </w:r>
      <w:r>
        <w:rPr>
          <w:rFonts w:ascii="Times New Roman" w:hAnsi="Times New Roman" w:cs="Times New Roman"/>
        </w:rPr>
        <w:t xml:space="preserve"> </w:t>
      </w:r>
      <w:r w:rsidRPr="00850E20">
        <w:rPr>
          <w:rFonts w:ascii="Times New Roman" w:hAnsi="Times New Roman" w:cs="Times New Roman"/>
        </w:rPr>
        <w:t>Inspektori</w:t>
      </w:r>
      <w:r>
        <w:rPr>
          <w:rFonts w:ascii="Times New Roman" w:hAnsi="Times New Roman" w:cs="Times New Roman"/>
        </w:rPr>
        <w:t xml:space="preserve"> i </w:t>
      </w:r>
      <w:r w:rsidRPr="00850E20">
        <w:rPr>
          <w:rFonts w:ascii="Times New Roman" w:hAnsi="Times New Roman" w:cs="Times New Roman"/>
        </w:rPr>
        <w:t>Përgjithshëm</w:t>
      </w:r>
      <w:r>
        <w:rPr>
          <w:rFonts w:ascii="Times New Roman" w:hAnsi="Times New Roman" w:cs="Times New Roman"/>
        </w:rPr>
        <w:t>.</w:t>
      </w:r>
    </w:p>
    <w:p w:rsidR="00850E20" w:rsidRDefault="00850E20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850E20" w:rsidRPr="00850E20" w:rsidRDefault="00850E20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850E20">
        <w:rPr>
          <w:rFonts w:ascii="Times New Roman" w:hAnsi="Times New Roman" w:cs="Times New Roman"/>
          <w:b/>
        </w:rPr>
        <w:t>Neni 2</w:t>
      </w:r>
    </w:p>
    <w:p w:rsidR="00850E20" w:rsidRPr="00850E20" w:rsidRDefault="00850E20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850E20">
        <w:rPr>
          <w:rFonts w:ascii="Times New Roman" w:hAnsi="Times New Roman" w:cs="Times New Roman"/>
          <w:b/>
        </w:rPr>
        <w:t>Objekti</w:t>
      </w:r>
    </w:p>
    <w:p w:rsidR="00850E20" w:rsidRDefault="00850E20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0690C" w:rsidRPr="007642EC" w:rsidRDefault="00B0690C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642EC">
        <w:rPr>
          <w:rFonts w:ascii="Times New Roman" w:hAnsi="Times New Roman" w:cs="Times New Roman"/>
        </w:rPr>
        <w:t>Objekti i kësaj</w:t>
      </w:r>
      <w:r w:rsidR="002F591A" w:rsidRPr="007642EC">
        <w:rPr>
          <w:rFonts w:ascii="Times New Roman" w:hAnsi="Times New Roman" w:cs="Times New Roman"/>
        </w:rPr>
        <w:t xml:space="preserve"> R</w:t>
      </w:r>
      <w:r w:rsidR="0095180A" w:rsidRPr="007642EC">
        <w:rPr>
          <w:rFonts w:ascii="Times New Roman" w:hAnsi="Times New Roman" w:cs="Times New Roman"/>
        </w:rPr>
        <w:t>regulloreje është përcaktimi i</w:t>
      </w:r>
      <w:r w:rsidR="00783EF3" w:rsidRPr="007642EC">
        <w:rPr>
          <w:rFonts w:ascii="Times New Roman" w:hAnsi="Times New Roman" w:cs="Times New Roman"/>
        </w:rPr>
        <w:t xml:space="preserve"> rregullave p</w:t>
      </w:r>
      <w:r w:rsidR="00827933" w:rsidRPr="007642EC">
        <w:rPr>
          <w:rFonts w:ascii="Times New Roman" w:hAnsi="Times New Roman" w:cs="Times New Roman"/>
        </w:rPr>
        <w:t>ë</w:t>
      </w:r>
      <w:r w:rsidR="00783EF3" w:rsidRPr="007642EC">
        <w:rPr>
          <w:rFonts w:ascii="Times New Roman" w:hAnsi="Times New Roman" w:cs="Times New Roman"/>
        </w:rPr>
        <w:t>r procedur</w:t>
      </w:r>
      <w:r w:rsidR="00827933" w:rsidRPr="007642EC">
        <w:rPr>
          <w:rFonts w:ascii="Times New Roman" w:hAnsi="Times New Roman" w:cs="Times New Roman"/>
        </w:rPr>
        <w:t>ë</w:t>
      </w:r>
      <w:r w:rsidR="00783EF3" w:rsidRPr="007642EC">
        <w:rPr>
          <w:rFonts w:ascii="Times New Roman" w:hAnsi="Times New Roman" w:cs="Times New Roman"/>
        </w:rPr>
        <w:t xml:space="preserve">n e shqyrtimit </w:t>
      </w:r>
      <w:r w:rsidR="0095180A" w:rsidRPr="007642EC">
        <w:rPr>
          <w:rFonts w:ascii="Times New Roman" w:hAnsi="Times New Roman" w:cs="Times New Roman"/>
        </w:rPr>
        <w:t>t</w:t>
      </w:r>
      <w:r w:rsidR="00827933" w:rsidRPr="007642EC">
        <w:rPr>
          <w:rFonts w:ascii="Times New Roman" w:hAnsi="Times New Roman" w:cs="Times New Roman"/>
        </w:rPr>
        <w:t>ë</w:t>
      </w:r>
      <w:r w:rsidR="00396649" w:rsidRPr="007642EC">
        <w:rPr>
          <w:rFonts w:ascii="Times New Roman" w:hAnsi="Times New Roman" w:cs="Times New Roman"/>
        </w:rPr>
        <w:t xml:space="preserve"> hetimit administrativ</w:t>
      </w:r>
      <w:r w:rsidR="00783EF3" w:rsidRPr="007642EC">
        <w:rPr>
          <w:rFonts w:ascii="Times New Roman" w:hAnsi="Times New Roman" w:cs="Times New Roman"/>
        </w:rPr>
        <w:t xml:space="preserve"> t</w:t>
      </w:r>
      <w:r w:rsidR="00827933" w:rsidRPr="007642EC">
        <w:rPr>
          <w:rFonts w:ascii="Times New Roman" w:hAnsi="Times New Roman" w:cs="Times New Roman"/>
        </w:rPr>
        <w:t>ë</w:t>
      </w:r>
      <w:r w:rsidR="00396649" w:rsidRPr="007642EC">
        <w:rPr>
          <w:rFonts w:ascii="Times New Roman" w:hAnsi="Times New Roman" w:cs="Times New Roman"/>
        </w:rPr>
        <w:t xml:space="preserve"> k</w:t>
      </w:r>
      <w:r w:rsidR="009F27B6" w:rsidRPr="007642EC">
        <w:rPr>
          <w:rFonts w:ascii="Times New Roman" w:hAnsi="Times New Roman" w:cs="Times New Roman"/>
        </w:rPr>
        <w:t>ë</w:t>
      </w:r>
      <w:r w:rsidR="00396649" w:rsidRPr="007642EC">
        <w:rPr>
          <w:rFonts w:ascii="Times New Roman" w:hAnsi="Times New Roman" w:cs="Times New Roman"/>
        </w:rPr>
        <w:t>rkes</w:t>
      </w:r>
      <w:r w:rsidR="009F27B6" w:rsidRPr="007642EC">
        <w:rPr>
          <w:rFonts w:ascii="Times New Roman" w:hAnsi="Times New Roman" w:cs="Times New Roman"/>
        </w:rPr>
        <w:t>ë</w:t>
      </w:r>
      <w:r w:rsidR="00396649" w:rsidRPr="007642EC">
        <w:rPr>
          <w:rFonts w:ascii="Times New Roman" w:hAnsi="Times New Roman" w:cs="Times New Roman"/>
        </w:rPr>
        <w:t xml:space="preserve">s </w:t>
      </w:r>
      <w:r w:rsidR="00ED4E7D" w:rsidRPr="007642EC">
        <w:rPr>
          <w:rFonts w:ascii="Times New Roman" w:hAnsi="Times New Roman" w:cs="Times New Roman"/>
        </w:rPr>
        <w:t>s</w:t>
      </w:r>
      <w:r w:rsidR="009F27B6" w:rsidRPr="007642EC">
        <w:rPr>
          <w:rFonts w:ascii="Times New Roman" w:hAnsi="Times New Roman" w:cs="Times New Roman"/>
        </w:rPr>
        <w:t>ë</w:t>
      </w:r>
      <w:r w:rsidR="00ED4E7D" w:rsidRPr="007642EC">
        <w:rPr>
          <w:rFonts w:ascii="Times New Roman" w:hAnsi="Times New Roman" w:cs="Times New Roman"/>
        </w:rPr>
        <w:t xml:space="preserve"> sinjalizuesit p</w:t>
      </w:r>
      <w:r w:rsidR="009F27B6" w:rsidRPr="007642EC">
        <w:rPr>
          <w:rFonts w:ascii="Times New Roman" w:hAnsi="Times New Roman" w:cs="Times New Roman"/>
        </w:rPr>
        <w:t>ë</w:t>
      </w:r>
      <w:r w:rsidR="00ED4E7D" w:rsidRPr="007642EC">
        <w:rPr>
          <w:rFonts w:ascii="Times New Roman" w:hAnsi="Times New Roman" w:cs="Times New Roman"/>
        </w:rPr>
        <w:t>r mbrojtjen nga hakmarrja</w:t>
      </w:r>
      <w:r w:rsidR="002F591A" w:rsidRPr="007642EC">
        <w:rPr>
          <w:rFonts w:ascii="Times New Roman" w:hAnsi="Times New Roman" w:cs="Times New Roman"/>
        </w:rPr>
        <w:t>,</w:t>
      </w:r>
      <w:r w:rsidR="00ED4E7D" w:rsidRPr="007642EC">
        <w:rPr>
          <w:rFonts w:ascii="Times New Roman" w:hAnsi="Times New Roman" w:cs="Times New Roman"/>
        </w:rPr>
        <w:t xml:space="preserve"> </w:t>
      </w:r>
      <w:r w:rsidR="00783EF3" w:rsidRPr="007642EC">
        <w:rPr>
          <w:rFonts w:ascii="Times New Roman" w:hAnsi="Times New Roman" w:cs="Times New Roman"/>
        </w:rPr>
        <w:t>n</w:t>
      </w:r>
      <w:r w:rsidR="00827933" w:rsidRPr="007642EC">
        <w:rPr>
          <w:rFonts w:ascii="Times New Roman" w:hAnsi="Times New Roman" w:cs="Times New Roman"/>
        </w:rPr>
        <w:t>ë</w:t>
      </w:r>
      <w:r w:rsidR="00783EF3" w:rsidRPr="007642EC">
        <w:rPr>
          <w:rFonts w:ascii="Times New Roman" w:hAnsi="Times New Roman" w:cs="Times New Roman"/>
        </w:rPr>
        <w:t xml:space="preserve"> zbatim t</w:t>
      </w:r>
      <w:r w:rsidR="00827933" w:rsidRPr="007642EC">
        <w:rPr>
          <w:rFonts w:ascii="Times New Roman" w:hAnsi="Times New Roman" w:cs="Times New Roman"/>
        </w:rPr>
        <w:t>ë</w:t>
      </w:r>
      <w:r w:rsidR="00783EF3" w:rsidRPr="007642EC">
        <w:rPr>
          <w:rFonts w:ascii="Times New Roman" w:hAnsi="Times New Roman" w:cs="Times New Roman"/>
        </w:rPr>
        <w:t xml:space="preserve"> ligjit nr. 60/2016 “</w:t>
      </w:r>
      <w:r w:rsidR="00783EF3" w:rsidRPr="00EE00A8">
        <w:rPr>
          <w:rFonts w:ascii="Times New Roman" w:hAnsi="Times New Roman" w:cs="Times New Roman"/>
          <w:i/>
        </w:rPr>
        <w:t>P</w:t>
      </w:r>
      <w:r w:rsidR="00827933" w:rsidRPr="00EE00A8">
        <w:rPr>
          <w:rFonts w:ascii="Times New Roman" w:hAnsi="Times New Roman" w:cs="Times New Roman"/>
          <w:i/>
        </w:rPr>
        <w:t>ë</w:t>
      </w:r>
      <w:r w:rsidR="00783EF3" w:rsidRPr="00EE00A8">
        <w:rPr>
          <w:rFonts w:ascii="Times New Roman" w:hAnsi="Times New Roman" w:cs="Times New Roman"/>
          <w:i/>
        </w:rPr>
        <w:t>r sinjalizimin dhe mbrojtjen e sinjalizuesve</w:t>
      </w:r>
      <w:r w:rsidR="00783EF3" w:rsidRPr="007642EC">
        <w:rPr>
          <w:rFonts w:ascii="Times New Roman" w:hAnsi="Times New Roman" w:cs="Times New Roman"/>
        </w:rPr>
        <w:t>”</w:t>
      </w:r>
      <w:r w:rsidRPr="007642EC">
        <w:rPr>
          <w:rFonts w:ascii="Times New Roman" w:hAnsi="Times New Roman" w:cs="Times New Roman"/>
        </w:rPr>
        <w:t xml:space="preserve">. </w:t>
      </w:r>
    </w:p>
    <w:p w:rsidR="00783EF3" w:rsidRPr="007642EC" w:rsidRDefault="00783EF3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ED4E7D" w:rsidRPr="007642EC" w:rsidRDefault="0005450B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Neni 3</w:t>
      </w:r>
    </w:p>
    <w:p w:rsidR="00ED4E7D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531776">
        <w:rPr>
          <w:rFonts w:ascii="Times New Roman" w:hAnsi="Times New Roman" w:cs="Times New Roman"/>
          <w:b/>
        </w:rPr>
        <w:t>P</w:t>
      </w:r>
      <w:r w:rsidR="009F27B6" w:rsidRPr="00531776">
        <w:rPr>
          <w:rFonts w:ascii="Times New Roman" w:hAnsi="Times New Roman" w:cs="Times New Roman"/>
          <w:b/>
        </w:rPr>
        <w:t>ë</w:t>
      </w:r>
      <w:r w:rsidRPr="00531776">
        <w:rPr>
          <w:rFonts w:ascii="Times New Roman" w:hAnsi="Times New Roman" w:cs="Times New Roman"/>
          <w:b/>
        </w:rPr>
        <w:t>rkufizime</w:t>
      </w:r>
    </w:p>
    <w:p w:rsidR="00017DF5" w:rsidRPr="007642EC" w:rsidRDefault="00017DF5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850E20" w:rsidRDefault="00017DF5" w:rsidP="00884745">
      <w:pPr>
        <w:spacing w:line="276" w:lineRule="auto"/>
        <w:rPr>
          <w:rFonts w:ascii="Times New Roman" w:hAnsi="Times New Roman" w:cs="Times New Roman"/>
          <w:shd w:val="clear" w:color="auto" w:fill="FFFFFF"/>
          <w:lang w:val="en-GB"/>
        </w:rPr>
      </w:pPr>
      <w:r w:rsidRPr="007642EC">
        <w:rPr>
          <w:rFonts w:ascii="Times New Roman" w:hAnsi="Times New Roman" w:cs="Times New Roman"/>
          <w:shd w:val="clear" w:color="auto" w:fill="FFFFFF"/>
          <w:lang w:val="en-GB"/>
        </w:rPr>
        <w:t>Në këtë Rregullore termat e mëposhtëm kanë këto kuptime:</w:t>
      </w:r>
    </w:p>
    <w:p w:rsidR="00017DF5" w:rsidRPr="007642EC" w:rsidRDefault="00017DF5" w:rsidP="00884745">
      <w:pPr>
        <w:spacing w:line="276" w:lineRule="auto"/>
        <w:rPr>
          <w:rFonts w:ascii="Times New Roman" w:hAnsi="Times New Roman" w:cs="Times New Roman"/>
          <w:lang w:val="en-GB"/>
        </w:rPr>
      </w:pPr>
      <w:r w:rsidRPr="007642EC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850E20">
        <w:rPr>
          <w:rFonts w:ascii="Times New Roman" w:hAnsi="Times New Roman" w:cs="Times New Roman"/>
          <w:lang w:val="en-GB"/>
        </w:rPr>
        <w:t>“Autoritet publik” ka të nj</w:t>
      </w:r>
      <w:r w:rsidR="007A304C">
        <w:rPr>
          <w:rFonts w:ascii="Times New Roman" w:hAnsi="Times New Roman" w:cs="Times New Roman"/>
          <w:lang w:val="en-GB"/>
        </w:rPr>
        <w:t>e</w:t>
      </w:r>
      <w:r w:rsidRPr="00850E20">
        <w:rPr>
          <w:rFonts w:ascii="Times New Roman" w:hAnsi="Times New Roman" w:cs="Times New Roman"/>
          <w:lang w:val="en-GB"/>
        </w:rPr>
        <w:t xml:space="preserve">jtin kuptim me atë të dhënë në ligjin </w:t>
      </w:r>
      <w:r w:rsidR="0005450B">
        <w:rPr>
          <w:rFonts w:ascii="Times New Roman" w:hAnsi="Times New Roman" w:cs="Times New Roman"/>
          <w:lang w:val="en-GB"/>
        </w:rPr>
        <w:t>për të drejtën e informimit.</w:t>
      </w:r>
    </w:p>
    <w:p w:rsidR="0005450B" w:rsidRDefault="0005450B" w:rsidP="0088474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 xml:space="preserve">“Hakmarrje” është çdo veprim, i drejtpërdrejtë ose </w:t>
      </w:r>
      <w:proofErr w:type="gramStart"/>
      <w:r w:rsidRPr="0005450B">
        <w:rPr>
          <w:rFonts w:ascii="Times New Roman" w:hAnsi="Times New Roman" w:cs="Times New Roman"/>
          <w:lang w:val="en-GB"/>
        </w:rPr>
        <w:t>jo</w:t>
      </w:r>
      <w:proofErr w:type="gramEnd"/>
      <w:r w:rsidRPr="0005450B">
        <w:rPr>
          <w:rFonts w:ascii="Times New Roman" w:hAnsi="Times New Roman" w:cs="Times New Roman"/>
          <w:lang w:val="en-GB"/>
        </w:rPr>
        <w:t xml:space="preserve"> i drejtpërdrejtë, ose kërcënim, i kryer nga organizata, me natyrë diskriminuese, disiplinore ose që, në një formë tjetër të padrejtë, dëmton interesat e ligjshëm të sinjalizuesit dh</w:t>
      </w:r>
      <w:r w:rsidR="0005450B">
        <w:rPr>
          <w:rFonts w:ascii="Times New Roman" w:hAnsi="Times New Roman" w:cs="Times New Roman"/>
          <w:lang w:val="en-GB"/>
        </w:rPr>
        <w:t>e që rezulton nga sinjalizimi.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>“I sinjalizuar” janë një ose më shumë persona, ndaj të cilëve bëhet një sinjalizim, sipas ligji</w:t>
      </w:r>
      <w:r w:rsidR="0005450B">
        <w:rPr>
          <w:rFonts w:ascii="Times New Roman" w:hAnsi="Times New Roman" w:cs="Times New Roman"/>
          <w:lang w:val="en-GB"/>
        </w:rPr>
        <w:t>t nr. 60/2016</w:t>
      </w:r>
      <w:r w:rsidRPr="0005450B">
        <w:rPr>
          <w:rFonts w:ascii="Times New Roman" w:hAnsi="Times New Roman" w:cs="Times New Roman"/>
          <w:lang w:val="en-GB"/>
        </w:rPr>
        <w:t xml:space="preserve">, në lidhje me një veprim ose praktikë të dyshuar korrupsioni. 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>“Mbrojtje” është mbrojtja e sinjalizuesit nga hakmarrja, sipas mekanizmit të përcaktuar në kreun V të ligjit nr.</w:t>
      </w:r>
      <w:r w:rsidR="002F591A" w:rsidRPr="0005450B">
        <w:rPr>
          <w:rFonts w:ascii="Times New Roman" w:hAnsi="Times New Roman" w:cs="Times New Roman"/>
          <w:lang w:val="en-GB"/>
        </w:rPr>
        <w:t xml:space="preserve"> </w:t>
      </w:r>
      <w:r w:rsidRPr="0005450B">
        <w:rPr>
          <w:rFonts w:ascii="Times New Roman" w:hAnsi="Times New Roman" w:cs="Times New Roman"/>
          <w:lang w:val="en-GB"/>
        </w:rPr>
        <w:t xml:space="preserve">60/2016. 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 xml:space="preserve">“Njësia përgjegjëse” është organi i posaçëm, i caktuar </w:t>
      </w:r>
      <w:proofErr w:type="gramStart"/>
      <w:r w:rsidRPr="0005450B">
        <w:rPr>
          <w:rFonts w:ascii="Times New Roman" w:hAnsi="Times New Roman" w:cs="Times New Roman"/>
          <w:lang w:val="en-GB"/>
        </w:rPr>
        <w:t>brenda</w:t>
      </w:r>
      <w:proofErr w:type="gramEnd"/>
      <w:r w:rsidRPr="0005450B">
        <w:rPr>
          <w:rFonts w:ascii="Times New Roman" w:hAnsi="Times New Roman" w:cs="Times New Roman"/>
          <w:lang w:val="en-GB"/>
        </w:rPr>
        <w:t xml:space="preserve"> </w:t>
      </w:r>
      <w:r w:rsidR="00131D3F">
        <w:rPr>
          <w:rFonts w:ascii="Times New Roman" w:hAnsi="Times New Roman" w:cs="Times New Roman"/>
          <w:lang w:val="en-GB"/>
        </w:rPr>
        <w:t>Bashkisë</w:t>
      </w:r>
      <w:r w:rsidRPr="0005450B">
        <w:rPr>
          <w:rFonts w:ascii="Times New Roman" w:hAnsi="Times New Roman" w:cs="Times New Roman"/>
          <w:lang w:val="en-GB"/>
        </w:rPr>
        <w:t xml:space="preserve"> i përbërë nga një ose më shumë punonjës të organizatës dhe i ngarkuar me detyrën e shqyrtimit të hetimit administrativ të sinjalizimit dhe shqyrtimin e kërkesës për mbrojtjen e sinjalizuesit. 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lastRenderedPageBreak/>
        <w:t xml:space="preserve">“Organizatë” është </w:t>
      </w:r>
      <w:r w:rsidR="00131D3F">
        <w:rPr>
          <w:rFonts w:ascii="Times New Roman" w:hAnsi="Times New Roman" w:cs="Times New Roman"/>
          <w:lang w:val="en-GB"/>
        </w:rPr>
        <w:t>Bashkia Kam</w:t>
      </w:r>
      <w:r w:rsidR="00CF585C">
        <w:rPr>
          <w:rFonts w:ascii="Times New Roman" w:hAnsi="Times New Roman" w:cs="Times New Roman"/>
          <w:lang w:val="en-GB"/>
        </w:rPr>
        <w:t>ë</w:t>
      </w:r>
      <w:r w:rsidR="00131D3F">
        <w:rPr>
          <w:rFonts w:ascii="Times New Roman" w:hAnsi="Times New Roman" w:cs="Times New Roman"/>
          <w:lang w:val="en-GB"/>
        </w:rPr>
        <w:t>z dhe N</w:t>
      </w:r>
      <w:r w:rsidR="007772DB">
        <w:rPr>
          <w:rFonts w:ascii="Times New Roman" w:hAnsi="Times New Roman" w:cs="Times New Roman"/>
          <w:lang w:val="en-GB"/>
        </w:rPr>
        <w:t>d</w:t>
      </w:r>
      <w:r w:rsidR="00131D3F">
        <w:rPr>
          <w:rFonts w:ascii="Times New Roman" w:hAnsi="Times New Roman" w:cs="Times New Roman"/>
          <w:lang w:val="en-GB"/>
        </w:rPr>
        <w:t>ë</w:t>
      </w:r>
      <w:r w:rsidR="007772DB">
        <w:rPr>
          <w:rFonts w:ascii="Times New Roman" w:hAnsi="Times New Roman" w:cs="Times New Roman"/>
          <w:lang w:val="en-GB"/>
        </w:rPr>
        <w:t>rmarrjet e var</w:t>
      </w:r>
      <w:r w:rsidR="00131D3F">
        <w:rPr>
          <w:rFonts w:ascii="Times New Roman" w:hAnsi="Times New Roman" w:cs="Times New Roman"/>
          <w:lang w:val="en-GB"/>
        </w:rPr>
        <w:t>ë</w:t>
      </w:r>
      <w:r w:rsidR="007772DB">
        <w:rPr>
          <w:rFonts w:ascii="Times New Roman" w:hAnsi="Times New Roman" w:cs="Times New Roman"/>
          <w:lang w:val="en-GB"/>
        </w:rPr>
        <w:t>sis</w:t>
      </w:r>
      <w:r w:rsidR="00131D3F">
        <w:rPr>
          <w:rFonts w:ascii="Times New Roman" w:hAnsi="Times New Roman" w:cs="Times New Roman"/>
          <w:lang w:val="en-GB"/>
        </w:rPr>
        <w:t>ë</w:t>
      </w:r>
    </w:p>
    <w:p w:rsidR="007A304C" w:rsidRPr="007A304C" w:rsidRDefault="007A304C" w:rsidP="007A304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>“Sinjalizim” është raportimi i informacionit nga ana e sinjalizuesit te</w:t>
      </w:r>
      <w:r w:rsidR="0005450B">
        <w:rPr>
          <w:rFonts w:ascii="Times New Roman" w:hAnsi="Times New Roman" w:cs="Times New Roman"/>
          <w:lang w:val="en-GB"/>
        </w:rPr>
        <w:t>k</w:t>
      </w:r>
      <w:r w:rsidRPr="0005450B">
        <w:rPr>
          <w:rFonts w:ascii="Times New Roman" w:hAnsi="Times New Roman" w:cs="Times New Roman"/>
          <w:lang w:val="en-GB"/>
        </w:rPr>
        <w:t xml:space="preserve"> njësia përgjegjëse për veprime apo praktika të dyshuara korrupsioni, të kryera në vendin e tij të punës në autoritet</w:t>
      </w:r>
      <w:r w:rsidR="0005450B">
        <w:rPr>
          <w:rFonts w:ascii="Times New Roman" w:hAnsi="Times New Roman" w:cs="Times New Roman"/>
          <w:lang w:val="en-GB"/>
        </w:rPr>
        <w:t>in publik apo subjektin privat.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 xml:space="preserve">“Sinjalizues” është individi, i cili aplikon ose është në marrëdhënie pune, ose ka punuar më parë pranë autoritetit publik apo subjektit privat, pavarësisht nga natyra e marrëdhënies së punës ose kohëzgjatjes së saj, si dhe nëse paguhet ose </w:t>
      </w:r>
      <w:proofErr w:type="gramStart"/>
      <w:r w:rsidRPr="0005450B">
        <w:rPr>
          <w:rFonts w:ascii="Times New Roman" w:hAnsi="Times New Roman" w:cs="Times New Roman"/>
          <w:lang w:val="en-GB"/>
        </w:rPr>
        <w:t>jo</w:t>
      </w:r>
      <w:proofErr w:type="gramEnd"/>
      <w:r w:rsidRPr="0005450B">
        <w:rPr>
          <w:rFonts w:ascii="Times New Roman" w:hAnsi="Times New Roman" w:cs="Times New Roman"/>
          <w:lang w:val="en-GB"/>
        </w:rPr>
        <w:t>, që sinjalizon një veprim ose pra</w:t>
      </w:r>
      <w:r w:rsidR="0005450B">
        <w:rPr>
          <w:rFonts w:ascii="Times New Roman" w:hAnsi="Times New Roman" w:cs="Times New Roman"/>
          <w:lang w:val="en-GB"/>
        </w:rPr>
        <w:t>ktikë të dyshuar korrupsioni.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  <w:lang w:val="en-GB"/>
        </w:rPr>
      </w:pPr>
    </w:p>
    <w:p w:rsidR="00017DF5" w:rsidRPr="0005450B" w:rsidRDefault="00017DF5" w:rsidP="0088474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05450B">
        <w:rPr>
          <w:rFonts w:ascii="Times New Roman" w:hAnsi="Times New Roman" w:cs="Times New Roman"/>
          <w:lang w:val="en-GB"/>
        </w:rPr>
        <w:t xml:space="preserve">“Veprim ose praktikë e dyshuar korrupsioni” është një veprim ose mosveprim, fakte ose rrethana të kryera në një organizatë, për të cilat sinjalizuesi dyshon në mirëbesim, sipas këtij ligji, se mund të përbëjë korrupsion. </w:t>
      </w:r>
    </w:p>
    <w:p w:rsidR="00D807E8" w:rsidRDefault="00D807E8" w:rsidP="00825E49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 w:cs="Times New Roman"/>
          <w:b/>
        </w:rPr>
      </w:pPr>
    </w:p>
    <w:p w:rsidR="00ED4E7D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>KREU II</w:t>
      </w:r>
    </w:p>
    <w:p w:rsidR="00D807E8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>VEPRIMET PROCEDURALE</w:t>
      </w:r>
    </w:p>
    <w:p w:rsidR="00D807E8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396649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 xml:space="preserve">Neni </w:t>
      </w:r>
      <w:r w:rsidR="0005450B">
        <w:rPr>
          <w:rFonts w:ascii="Times New Roman" w:hAnsi="Times New Roman" w:cs="Times New Roman"/>
          <w:b/>
        </w:rPr>
        <w:t>4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Kryerja e veprimeve procedurale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450B" w:rsidRPr="0005450B" w:rsidRDefault="00396649" w:rsidP="0088474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Veprimet procedurale të </w:t>
      </w:r>
      <w:r w:rsidR="007772DB">
        <w:rPr>
          <w:rFonts w:ascii="Times New Roman" w:hAnsi="Times New Roman" w:cs="Times New Roman"/>
          <w:lang w:val="en-GB"/>
        </w:rPr>
        <w:t>Njësisë</w:t>
      </w:r>
      <w:r w:rsidR="007772DB" w:rsidRPr="0005450B">
        <w:rPr>
          <w:rFonts w:ascii="Times New Roman" w:hAnsi="Times New Roman" w:cs="Times New Roman"/>
          <w:lang w:val="en-GB"/>
        </w:rPr>
        <w:t xml:space="preserve"> përgjegjëse</w:t>
      </w:r>
      <w:r w:rsidRPr="0005450B">
        <w:rPr>
          <w:rFonts w:ascii="Times New Roman" w:hAnsi="Times New Roman" w:cs="Times New Roman"/>
        </w:rPr>
        <w:t xml:space="preserve"> kryhen në përputhje me ligjin nr. 60/2016 dhe në rast të mosparashikimit nga </w:t>
      </w:r>
      <w:proofErr w:type="gramStart"/>
      <w:r w:rsidRPr="0005450B">
        <w:rPr>
          <w:rFonts w:ascii="Times New Roman" w:hAnsi="Times New Roman" w:cs="Times New Roman"/>
        </w:rPr>
        <w:t>ky</w:t>
      </w:r>
      <w:proofErr w:type="gramEnd"/>
      <w:r w:rsidRPr="0005450B">
        <w:rPr>
          <w:rFonts w:ascii="Times New Roman" w:hAnsi="Times New Roman" w:cs="Times New Roman"/>
        </w:rPr>
        <w:t xml:space="preserve"> ligj</w:t>
      </w:r>
      <w:r w:rsidR="0005450B">
        <w:rPr>
          <w:rFonts w:ascii="Times New Roman" w:hAnsi="Times New Roman" w:cs="Times New Roman"/>
        </w:rPr>
        <w:t>,</w:t>
      </w:r>
      <w:r w:rsidRPr="0005450B">
        <w:rPr>
          <w:rFonts w:ascii="Times New Roman" w:hAnsi="Times New Roman" w:cs="Times New Roman"/>
        </w:rPr>
        <w:t xml:space="preserve"> sipas Kodit të Procedurave Administrative.</w:t>
      </w:r>
      <w:r w:rsidRPr="0005450B">
        <w:rPr>
          <w:rFonts w:ascii="MS Mincho" w:eastAsia="MS Mincho" w:hAnsi="MS Mincho" w:cs="MS Mincho" w:hint="eastAsia"/>
        </w:rPr>
        <w:t> </w:t>
      </w:r>
    </w:p>
    <w:p w:rsidR="0005450B" w:rsidRPr="0005450B" w:rsidRDefault="0005450B" w:rsidP="00884745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83EF3" w:rsidRPr="0005450B" w:rsidRDefault="00396649" w:rsidP="0088474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Njoftimet për veprimet procedurale, për të cilat </w:t>
      </w:r>
      <w:r w:rsidR="007772DB">
        <w:rPr>
          <w:rFonts w:ascii="Times New Roman" w:hAnsi="Times New Roman" w:cs="Times New Roman"/>
          <w:lang w:val="en-GB"/>
        </w:rPr>
        <w:t>Njësia</w:t>
      </w:r>
      <w:r w:rsidR="007772DB" w:rsidRPr="0005450B">
        <w:rPr>
          <w:rFonts w:ascii="Times New Roman" w:hAnsi="Times New Roman" w:cs="Times New Roman"/>
          <w:lang w:val="en-GB"/>
        </w:rPr>
        <w:t xml:space="preserve"> përgjegjëse</w:t>
      </w:r>
      <w:r w:rsidR="007772DB" w:rsidRPr="0005450B">
        <w:rPr>
          <w:rFonts w:ascii="Times New Roman" w:hAnsi="Times New Roman" w:cs="Times New Roman"/>
        </w:rPr>
        <w:t xml:space="preserve"> </w:t>
      </w:r>
      <w:r w:rsidRPr="0005450B">
        <w:rPr>
          <w:rFonts w:ascii="Times New Roman" w:hAnsi="Times New Roman" w:cs="Times New Roman"/>
        </w:rPr>
        <w:t>cakton afate, duhet të përmbajnë paralajmërimin e shprehur mbi pasojat e mosrespektimit të afatit.</w:t>
      </w:r>
    </w:p>
    <w:p w:rsidR="002A53B2" w:rsidRDefault="002A53B2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96649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 xml:space="preserve">Neni </w:t>
      </w:r>
      <w:r w:rsidR="0005450B">
        <w:rPr>
          <w:rFonts w:ascii="Times New Roman" w:hAnsi="Times New Roman" w:cs="Times New Roman"/>
          <w:b/>
        </w:rPr>
        <w:t>5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47729E">
        <w:rPr>
          <w:rFonts w:ascii="Times New Roman" w:hAnsi="Times New Roman" w:cs="Times New Roman"/>
          <w:b/>
          <w:bCs/>
        </w:rPr>
        <w:t>Mbrojtja kundër hakmarrjes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450B" w:rsidRPr="00D85549" w:rsidRDefault="00396649" w:rsidP="00884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Sinjalizuesi, i cili sinjalizon një veprim ose praktikë të dyshuar korrupsioni, </w:t>
      </w:r>
      <w:r w:rsidR="00ED4E7D" w:rsidRPr="0005450B">
        <w:rPr>
          <w:rFonts w:ascii="Times New Roman" w:hAnsi="Times New Roman" w:cs="Times New Roman"/>
        </w:rPr>
        <w:t>sipas ligjit nr. 60/2016</w:t>
      </w:r>
      <w:r w:rsidR="007A304C">
        <w:rPr>
          <w:rFonts w:ascii="Times New Roman" w:hAnsi="Times New Roman" w:cs="Times New Roman"/>
        </w:rPr>
        <w:t>, mbrohet ndaj çdo masë</w:t>
      </w:r>
      <w:r w:rsidRPr="0005450B">
        <w:rPr>
          <w:rFonts w:ascii="Times New Roman" w:hAnsi="Times New Roman" w:cs="Times New Roman"/>
        </w:rPr>
        <w:t xml:space="preserve"> hakmarrëse të marrë ndaj tij nga organizata, duke p</w:t>
      </w:r>
      <w:r w:rsidR="0005450B">
        <w:rPr>
          <w:rFonts w:ascii="Times New Roman" w:hAnsi="Times New Roman" w:cs="Times New Roman"/>
        </w:rPr>
        <w:t>ërfshirë, por pa u kufizuar në: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shkarkimin nga puna;</w:t>
      </w:r>
    </w:p>
    <w:p w:rsid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pezullimin nga puna</w:t>
      </w:r>
      <w:r w:rsidR="007A304C">
        <w:rPr>
          <w:rFonts w:ascii="Times New Roman" w:hAnsi="Times New Roman" w:cs="Times New Roman"/>
        </w:rPr>
        <w:t>,</w:t>
      </w:r>
      <w:r w:rsidRPr="0005450B">
        <w:rPr>
          <w:rFonts w:ascii="Times New Roman" w:hAnsi="Times New Roman" w:cs="Times New Roman"/>
        </w:rPr>
        <w:t xml:space="preserve"> os</w:t>
      </w:r>
      <w:r w:rsidR="0005450B">
        <w:rPr>
          <w:rFonts w:ascii="Times New Roman" w:hAnsi="Times New Roman" w:cs="Times New Roman"/>
        </w:rPr>
        <w:t>e të një</w:t>
      </w:r>
      <w:r w:rsidR="007A304C">
        <w:rPr>
          <w:rFonts w:ascii="Times New Roman" w:hAnsi="Times New Roman" w:cs="Times New Roman"/>
        </w:rPr>
        <w:t>,</w:t>
      </w:r>
      <w:r w:rsidR="0005450B">
        <w:rPr>
          <w:rFonts w:ascii="Times New Roman" w:hAnsi="Times New Roman" w:cs="Times New Roman"/>
        </w:rPr>
        <w:t xml:space="preserve"> ose më shumë detyrave;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transferimin brenda ose jashtë organizatës;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uljen në detyrë;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uljen e pagës dhe/ose të shpërblimeve financiare;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lastRenderedPageBreak/>
        <w:t>humbjen e statusit dhe të privilegjeve;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mosngritjen në detyrë;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heqjen e së drejtës për të marrë pjesë në trajnime;</w:t>
      </w:r>
    </w:p>
    <w:p w:rsidR="0005450B" w:rsidRPr="0005450B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>vlerësime negative në marrëdhënien e punës;</w:t>
      </w:r>
    </w:p>
    <w:p w:rsidR="00396649" w:rsidRPr="00D85549" w:rsidRDefault="00396649" w:rsidP="00884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05450B">
        <w:rPr>
          <w:rFonts w:ascii="Times New Roman" w:hAnsi="Times New Roman" w:cs="Times New Roman"/>
        </w:rPr>
        <w:t>forma</w:t>
      </w:r>
      <w:proofErr w:type="gramEnd"/>
      <w:r w:rsidRPr="0005450B">
        <w:rPr>
          <w:rFonts w:ascii="Times New Roman" w:hAnsi="Times New Roman" w:cs="Times New Roman"/>
        </w:rPr>
        <w:t xml:space="preserve"> të tjera të hakmarrjes në lidhje me punën.</w:t>
      </w:r>
      <w:r w:rsidRPr="0005450B">
        <w:rPr>
          <w:rFonts w:ascii="MS Mincho" w:eastAsia="MS Mincho" w:hAnsi="MS Mincho" w:cs="MS Mincho" w:hint="eastAsia"/>
        </w:rPr>
        <w:t> </w:t>
      </w:r>
    </w:p>
    <w:p w:rsidR="00D85549" w:rsidRPr="0005450B" w:rsidRDefault="00D85549" w:rsidP="00884745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96649" w:rsidRPr="007642EC" w:rsidRDefault="00396649" w:rsidP="00884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642EC">
        <w:rPr>
          <w:rFonts w:ascii="Times New Roman" w:hAnsi="Times New Roman" w:cs="Times New Roman"/>
        </w:rPr>
        <w:t>Çdo akt i hakmarrjes ndaj si</w:t>
      </w:r>
      <w:r w:rsidR="00FF745F" w:rsidRPr="007642EC">
        <w:rPr>
          <w:rFonts w:ascii="Times New Roman" w:hAnsi="Times New Roman" w:cs="Times New Roman"/>
        </w:rPr>
        <w:t>njalizuesit është i pavlefshëm.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450B" w:rsidRDefault="00396649" w:rsidP="00884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31776">
        <w:rPr>
          <w:rFonts w:ascii="Times New Roman" w:hAnsi="Times New Roman" w:cs="Times New Roman"/>
        </w:rPr>
        <w:t>Nëse sinjalizuesi dëshiron të vendoset në një strukturë tjetër të organizatës, për të mbrojtur veten nga reagime armiqësore në mjedisin e tij të afërt të punës, paraqet k</w:t>
      </w:r>
      <w:r w:rsidR="009F27B6" w:rsidRPr="00531776">
        <w:rPr>
          <w:rFonts w:ascii="Times New Roman" w:hAnsi="Times New Roman" w:cs="Times New Roman"/>
        </w:rPr>
        <w:t>ë</w:t>
      </w:r>
      <w:r w:rsidRPr="00531776">
        <w:rPr>
          <w:rFonts w:ascii="Times New Roman" w:hAnsi="Times New Roman" w:cs="Times New Roman"/>
        </w:rPr>
        <w:t>rkes</w:t>
      </w:r>
      <w:r w:rsidR="009F27B6" w:rsidRPr="00531776">
        <w:rPr>
          <w:rFonts w:ascii="Times New Roman" w:hAnsi="Times New Roman" w:cs="Times New Roman"/>
        </w:rPr>
        <w:t>ë</w:t>
      </w:r>
      <w:r w:rsidRPr="00531776">
        <w:rPr>
          <w:rFonts w:ascii="Times New Roman" w:hAnsi="Times New Roman" w:cs="Times New Roman"/>
        </w:rPr>
        <w:t xml:space="preserve"> me shkrim tek drejtuesi </w:t>
      </w:r>
      <w:r w:rsidR="00ED4E7D" w:rsidRPr="00531776">
        <w:rPr>
          <w:rFonts w:ascii="Times New Roman" w:hAnsi="Times New Roman" w:cs="Times New Roman"/>
        </w:rPr>
        <w:t>i</w:t>
      </w:r>
      <w:r w:rsidRPr="00531776">
        <w:rPr>
          <w:rFonts w:ascii="Times New Roman" w:hAnsi="Times New Roman" w:cs="Times New Roman"/>
        </w:rPr>
        <w:t xml:space="preserve"> organizat</w:t>
      </w:r>
      <w:r w:rsidR="009F27B6" w:rsidRPr="00531776">
        <w:rPr>
          <w:rFonts w:ascii="Times New Roman" w:hAnsi="Times New Roman" w:cs="Times New Roman"/>
        </w:rPr>
        <w:t>ë</w:t>
      </w:r>
      <w:r w:rsidRPr="00531776">
        <w:rPr>
          <w:rFonts w:ascii="Times New Roman" w:hAnsi="Times New Roman" w:cs="Times New Roman"/>
        </w:rPr>
        <w:t>s dhe nj</w:t>
      </w:r>
      <w:r w:rsidR="009F27B6" w:rsidRPr="00531776">
        <w:rPr>
          <w:rFonts w:ascii="Times New Roman" w:hAnsi="Times New Roman" w:cs="Times New Roman"/>
        </w:rPr>
        <w:t>ë</w:t>
      </w:r>
      <w:r w:rsidRPr="00531776">
        <w:rPr>
          <w:rFonts w:ascii="Times New Roman" w:hAnsi="Times New Roman" w:cs="Times New Roman"/>
        </w:rPr>
        <w:t xml:space="preserve"> kopje e saj </w:t>
      </w:r>
      <w:r w:rsidR="00ED4E7D" w:rsidRPr="00531776">
        <w:rPr>
          <w:rFonts w:ascii="Times New Roman" w:hAnsi="Times New Roman" w:cs="Times New Roman"/>
        </w:rPr>
        <w:t>i</w:t>
      </w:r>
      <w:r w:rsidRPr="00531776">
        <w:rPr>
          <w:rFonts w:ascii="Times New Roman" w:hAnsi="Times New Roman" w:cs="Times New Roman"/>
        </w:rPr>
        <w:t xml:space="preserve"> d</w:t>
      </w:r>
      <w:r w:rsidR="009F27B6" w:rsidRPr="00531776">
        <w:rPr>
          <w:rFonts w:ascii="Times New Roman" w:hAnsi="Times New Roman" w:cs="Times New Roman"/>
        </w:rPr>
        <w:t>ë</w:t>
      </w:r>
      <w:r w:rsidRPr="00531776">
        <w:rPr>
          <w:rFonts w:ascii="Times New Roman" w:hAnsi="Times New Roman" w:cs="Times New Roman"/>
        </w:rPr>
        <w:t>rgohet</w:t>
      </w:r>
      <w:r w:rsidR="0047729E" w:rsidRPr="00531776">
        <w:rPr>
          <w:rFonts w:ascii="Times New Roman" w:hAnsi="Times New Roman" w:cs="Times New Roman"/>
        </w:rPr>
        <w:t xml:space="preserve"> </w:t>
      </w:r>
      <w:r w:rsidR="0047729E" w:rsidRPr="00531776">
        <w:rPr>
          <w:rFonts w:ascii="Times New Roman" w:hAnsi="Times New Roman" w:cs="Times New Roman"/>
          <w:lang w:val="en-GB"/>
        </w:rPr>
        <w:t>Njësisë përgjegjëse</w:t>
      </w:r>
      <w:r w:rsidR="004D5904" w:rsidRPr="00531776">
        <w:rPr>
          <w:rFonts w:ascii="Times New Roman" w:hAnsi="Times New Roman" w:cs="Times New Roman"/>
          <w:lang w:val="en-GB"/>
        </w:rPr>
        <w:t>.</w:t>
      </w:r>
      <w:r w:rsidRPr="00531776">
        <w:rPr>
          <w:rFonts w:ascii="Times New Roman" w:hAnsi="Times New Roman" w:cs="Times New Roman"/>
        </w:rPr>
        <w:t xml:space="preserve"> </w:t>
      </w:r>
    </w:p>
    <w:p w:rsidR="00531776" w:rsidRPr="00531776" w:rsidRDefault="00531776" w:rsidP="00531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5450B" w:rsidRDefault="00396649" w:rsidP="00884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Organizata merr masat e arsyeshme dhe të përshtatshme për të lehtësuar një lëvizje të tillë. </w:t>
      </w:r>
      <w:r w:rsidR="004F1FE1" w:rsidRPr="0005450B">
        <w:rPr>
          <w:rFonts w:ascii="Times New Roman" w:hAnsi="Times New Roman" w:cs="Times New Roman"/>
        </w:rPr>
        <w:t>Në ras</w:t>
      </w:r>
      <w:r w:rsidR="008F54F4" w:rsidRPr="0005450B">
        <w:rPr>
          <w:rFonts w:ascii="Times New Roman" w:hAnsi="Times New Roman" w:cs="Times New Roman"/>
        </w:rPr>
        <w:t>t të mos miratimit apo moskthim</w:t>
      </w:r>
      <w:r w:rsidR="004F1FE1" w:rsidRPr="0005450B">
        <w:rPr>
          <w:rFonts w:ascii="Times New Roman" w:hAnsi="Times New Roman" w:cs="Times New Roman"/>
        </w:rPr>
        <w:t>it t</w:t>
      </w:r>
      <w:r w:rsidR="008F54F4" w:rsidRPr="0005450B">
        <w:rPr>
          <w:rFonts w:ascii="Times New Roman" w:hAnsi="Times New Roman" w:cs="Times New Roman"/>
        </w:rPr>
        <w:t>ë</w:t>
      </w:r>
      <w:r w:rsidR="004F1FE1" w:rsidRPr="0005450B">
        <w:rPr>
          <w:rFonts w:ascii="Times New Roman" w:hAnsi="Times New Roman" w:cs="Times New Roman"/>
        </w:rPr>
        <w:t xml:space="preserve"> p</w:t>
      </w:r>
      <w:r w:rsidR="008F54F4" w:rsidRPr="0005450B">
        <w:rPr>
          <w:rFonts w:ascii="Times New Roman" w:hAnsi="Times New Roman" w:cs="Times New Roman"/>
        </w:rPr>
        <w:t>ë</w:t>
      </w:r>
      <w:r w:rsidR="004F1FE1" w:rsidRPr="0005450B">
        <w:rPr>
          <w:rFonts w:ascii="Times New Roman" w:hAnsi="Times New Roman" w:cs="Times New Roman"/>
        </w:rPr>
        <w:t xml:space="preserve">rgjigjes </w:t>
      </w:r>
      <w:proofErr w:type="gramStart"/>
      <w:r w:rsidR="004F1FE1" w:rsidRPr="0005450B">
        <w:rPr>
          <w:rFonts w:ascii="Times New Roman" w:hAnsi="Times New Roman" w:cs="Times New Roman"/>
        </w:rPr>
        <w:t>brenda</w:t>
      </w:r>
      <w:proofErr w:type="gramEnd"/>
      <w:r w:rsidR="004F1FE1" w:rsidRPr="0005450B">
        <w:rPr>
          <w:rFonts w:ascii="Times New Roman" w:hAnsi="Times New Roman" w:cs="Times New Roman"/>
        </w:rPr>
        <w:t xml:space="preserve"> 5 dit</w:t>
      </w:r>
      <w:r w:rsidR="008F54F4" w:rsidRPr="0005450B">
        <w:rPr>
          <w:rFonts w:ascii="Times New Roman" w:hAnsi="Times New Roman" w:cs="Times New Roman"/>
        </w:rPr>
        <w:t>ë</w:t>
      </w:r>
      <w:r w:rsidR="004F1FE1" w:rsidRPr="0005450B">
        <w:rPr>
          <w:rFonts w:ascii="Times New Roman" w:hAnsi="Times New Roman" w:cs="Times New Roman"/>
        </w:rPr>
        <w:t>sh nga data e paraqitjes s</w:t>
      </w:r>
      <w:r w:rsidR="008F54F4" w:rsidRPr="0005450B">
        <w:rPr>
          <w:rFonts w:ascii="Times New Roman" w:hAnsi="Times New Roman" w:cs="Times New Roman"/>
        </w:rPr>
        <w:t>ë</w:t>
      </w:r>
      <w:r w:rsidR="004F1FE1" w:rsidRPr="0005450B">
        <w:rPr>
          <w:rFonts w:ascii="Times New Roman" w:hAnsi="Times New Roman" w:cs="Times New Roman"/>
        </w:rPr>
        <w:t xml:space="preserve"> saj</w:t>
      </w:r>
      <w:r w:rsidRPr="0005450B">
        <w:rPr>
          <w:rFonts w:ascii="Times New Roman" w:hAnsi="Times New Roman" w:cs="Times New Roman"/>
        </w:rPr>
        <w:t xml:space="preserve">, </w:t>
      </w:r>
      <w:r w:rsidR="0047729E">
        <w:rPr>
          <w:rFonts w:ascii="Times New Roman" w:hAnsi="Times New Roman" w:cs="Times New Roman"/>
          <w:lang w:val="en-GB"/>
        </w:rPr>
        <w:t>Njësia</w:t>
      </w:r>
      <w:r w:rsidR="0047729E" w:rsidRPr="0005450B">
        <w:rPr>
          <w:rFonts w:ascii="Times New Roman" w:hAnsi="Times New Roman" w:cs="Times New Roman"/>
          <w:lang w:val="en-GB"/>
        </w:rPr>
        <w:t xml:space="preserve"> përgjegjëse</w:t>
      </w:r>
      <w:r w:rsidRPr="0005450B">
        <w:rPr>
          <w:rFonts w:ascii="Times New Roman" w:hAnsi="Times New Roman" w:cs="Times New Roman"/>
        </w:rPr>
        <w:t xml:space="preserve">, me kërkesë të sinjalizuesit, </w:t>
      </w:r>
      <w:r w:rsidR="00D30FBC" w:rsidRPr="0005450B">
        <w:rPr>
          <w:rFonts w:ascii="Times New Roman" w:hAnsi="Times New Roman" w:cs="Times New Roman"/>
        </w:rPr>
        <w:t xml:space="preserve">menjëherë </w:t>
      </w:r>
      <w:r w:rsidRPr="0005450B">
        <w:rPr>
          <w:rFonts w:ascii="Times New Roman" w:hAnsi="Times New Roman" w:cs="Times New Roman"/>
        </w:rPr>
        <w:t xml:space="preserve">i drejtohet organit kompetent, sipas legjislacionit në fuqi, për të urdhëruar autoritetin publik të marrë të gjitha masat, sipas këtij neni. </w:t>
      </w:r>
    </w:p>
    <w:p w:rsidR="0005450B" w:rsidRPr="0005450B" w:rsidRDefault="0005450B" w:rsidP="00884745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396649" w:rsidRPr="0005450B" w:rsidRDefault="00396649" w:rsidP="00884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Nëse organi kompetent nuk merr masat e </w:t>
      </w:r>
      <w:r w:rsidR="00ED4E7D" w:rsidRPr="0005450B">
        <w:rPr>
          <w:rFonts w:ascii="Times New Roman" w:hAnsi="Times New Roman" w:cs="Times New Roman"/>
        </w:rPr>
        <w:t>kërkuara</w:t>
      </w:r>
      <w:r w:rsidR="00045460">
        <w:rPr>
          <w:rFonts w:ascii="Times New Roman" w:hAnsi="Times New Roman" w:cs="Times New Roman"/>
        </w:rPr>
        <w:t>,</w:t>
      </w:r>
      <w:r w:rsidR="00ED4E7D" w:rsidRPr="0005450B">
        <w:rPr>
          <w:rFonts w:ascii="Times New Roman" w:hAnsi="Times New Roman" w:cs="Times New Roman"/>
        </w:rPr>
        <w:t xml:space="preserve"> </w:t>
      </w:r>
      <w:r w:rsidR="0047729E">
        <w:rPr>
          <w:rFonts w:ascii="Times New Roman" w:hAnsi="Times New Roman" w:cs="Times New Roman"/>
          <w:lang w:val="en-GB"/>
        </w:rPr>
        <w:t>Njësia</w:t>
      </w:r>
      <w:r w:rsidR="0047729E" w:rsidRPr="0005450B">
        <w:rPr>
          <w:rFonts w:ascii="Times New Roman" w:hAnsi="Times New Roman" w:cs="Times New Roman"/>
          <w:lang w:val="en-GB"/>
        </w:rPr>
        <w:t xml:space="preserve"> përgjegjëse</w:t>
      </w:r>
      <w:r w:rsidR="0047729E" w:rsidRPr="0005450B">
        <w:rPr>
          <w:rFonts w:ascii="Times New Roman" w:hAnsi="Times New Roman" w:cs="Times New Roman"/>
        </w:rPr>
        <w:t xml:space="preserve"> </w:t>
      </w:r>
      <w:r w:rsidR="00ED4E7D" w:rsidRPr="0005450B">
        <w:rPr>
          <w:rFonts w:ascii="Times New Roman" w:hAnsi="Times New Roman" w:cs="Times New Roman"/>
        </w:rPr>
        <w:t>i drejto</w:t>
      </w:r>
      <w:r w:rsidRPr="0005450B">
        <w:rPr>
          <w:rFonts w:ascii="Times New Roman" w:hAnsi="Times New Roman" w:cs="Times New Roman"/>
        </w:rPr>
        <w:t>h</w:t>
      </w:r>
      <w:r w:rsidR="00ED4E7D" w:rsidRPr="0005450B">
        <w:rPr>
          <w:rFonts w:ascii="Times New Roman" w:hAnsi="Times New Roman" w:cs="Times New Roman"/>
        </w:rPr>
        <w:t>e</w:t>
      </w:r>
      <w:r w:rsidRPr="0005450B">
        <w:rPr>
          <w:rFonts w:ascii="Times New Roman" w:hAnsi="Times New Roman" w:cs="Times New Roman"/>
        </w:rPr>
        <w:t>t me k</w:t>
      </w:r>
      <w:r w:rsidR="009F27B6" w:rsidRPr="0005450B">
        <w:rPr>
          <w:rFonts w:ascii="Times New Roman" w:hAnsi="Times New Roman" w:cs="Times New Roman"/>
        </w:rPr>
        <w:t>ë</w:t>
      </w:r>
      <w:r w:rsidRPr="0005450B">
        <w:rPr>
          <w:rFonts w:ascii="Times New Roman" w:hAnsi="Times New Roman" w:cs="Times New Roman"/>
        </w:rPr>
        <w:t>rkes</w:t>
      </w:r>
      <w:r w:rsidR="009F27B6" w:rsidRPr="0005450B">
        <w:rPr>
          <w:rFonts w:ascii="Times New Roman" w:hAnsi="Times New Roman" w:cs="Times New Roman"/>
        </w:rPr>
        <w:t>ëpadi gjyk</w:t>
      </w:r>
      <w:r w:rsidRPr="0005450B">
        <w:rPr>
          <w:rFonts w:ascii="Times New Roman" w:hAnsi="Times New Roman" w:cs="Times New Roman"/>
        </w:rPr>
        <w:t>at</w:t>
      </w:r>
      <w:r w:rsidR="009F27B6" w:rsidRPr="0005450B">
        <w:rPr>
          <w:rFonts w:ascii="Times New Roman" w:hAnsi="Times New Roman" w:cs="Times New Roman"/>
        </w:rPr>
        <w:t>ë</w:t>
      </w:r>
      <w:r w:rsidRPr="0005450B">
        <w:rPr>
          <w:rFonts w:ascii="Times New Roman" w:hAnsi="Times New Roman" w:cs="Times New Roman"/>
        </w:rPr>
        <w:t xml:space="preserve">s kompetente. 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</w:rPr>
      </w:pPr>
    </w:p>
    <w:p w:rsidR="00D807E8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>KREU III</w:t>
      </w:r>
    </w:p>
    <w:p w:rsidR="00D807E8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>HETIMI ADMINISTRATIV</w:t>
      </w:r>
    </w:p>
    <w:p w:rsidR="00D807E8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96649" w:rsidRPr="007642EC" w:rsidRDefault="00D30FB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4D5904">
        <w:rPr>
          <w:rFonts w:ascii="Times New Roman" w:hAnsi="Times New Roman" w:cs="Times New Roman"/>
          <w:b/>
        </w:rPr>
        <w:t xml:space="preserve">Neni </w:t>
      </w:r>
      <w:r w:rsidR="0005450B" w:rsidRPr="004D5904">
        <w:rPr>
          <w:rFonts w:ascii="Times New Roman" w:hAnsi="Times New Roman" w:cs="Times New Roman"/>
          <w:b/>
        </w:rPr>
        <w:t>6</w:t>
      </w: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642EC">
        <w:rPr>
          <w:rFonts w:ascii="Times New Roman" w:hAnsi="Times New Roman" w:cs="Times New Roman"/>
          <w:b/>
          <w:bCs/>
        </w:rPr>
        <w:t>Procedura e hetimit të kërkesës për mbrojtje</w:t>
      </w:r>
    </w:p>
    <w:p w:rsidR="00ED4E7D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9270BC" w:rsidRDefault="00396649" w:rsidP="0088474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450B">
        <w:rPr>
          <w:rFonts w:ascii="Times New Roman" w:hAnsi="Times New Roman" w:cs="Times New Roman"/>
        </w:rPr>
        <w:t xml:space="preserve">Sinjalizuesi, i cili pretendon se është subjekt i një akti hakmarrjeje, </w:t>
      </w:r>
      <w:r w:rsidR="00ED4E7D" w:rsidRPr="0005450B">
        <w:rPr>
          <w:rFonts w:ascii="Times New Roman" w:hAnsi="Times New Roman" w:cs="Times New Roman"/>
        </w:rPr>
        <w:t>fillimisht duhet t</w:t>
      </w:r>
      <w:r w:rsidR="009F27B6" w:rsidRPr="0005450B">
        <w:rPr>
          <w:rFonts w:ascii="Times New Roman" w:hAnsi="Times New Roman" w:cs="Times New Roman"/>
        </w:rPr>
        <w:t>ë</w:t>
      </w:r>
      <w:r w:rsidR="00ED4E7D" w:rsidRPr="0005450B">
        <w:rPr>
          <w:rFonts w:ascii="Times New Roman" w:hAnsi="Times New Roman" w:cs="Times New Roman"/>
        </w:rPr>
        <w:t xml:space="preserve"> paraqes</w:t>
      </w:r>
      <w:r w:rsidR="009F27B6" w:rsidRPr="0005450B">
        <w:rPr>
          <w:rFonts w:ascii="Times New Roman" w:hAnsi="Times New Roman" w:cs="Times New Roman"/>
        </w:rPr>
        <w:t>ë</w:t>
      </w:r>
      <w:r w:rsidRPr="0005450B">
        <w:rPr>
          <w:rFonts w:ascii="Times New Roman" w:hAnsi="Times New Roman" w:cs="Times New Roman"/>
        </w:rPr>
        <w:t xml:space="preserve"> kërkesë për mbrojtje te</w:t>
      </w:r>
      <w:r w:rsidR="009270BC">
        <w:rPr>
          <w:rFonts w:ascii="Times New Roman" w:hAnsi="Times New Roman" w:cs="Times New Roman"/>
        </w:rPr>
        <w:t>k</w:t>
      </w:r>
      <w:r w:rsidRPr="0005450B">
        <w:rPr>
          <w:rFonts w:ascii="Times New Roman" w:hAnsi="Times New Roman" w:cs="Times New Roman"/>
        </w:rPr>
        <w:t xml:space="preserve"> njësia përgjegjëse</w:t>
      </w:r>
      <w:r w:rsidR="00ED4E7D" w:rsidRPr="0005450B">
        <w:rPr>
          <w:rFonts w:ascii="Times New Roman" w:hAnsi="Times New Roman" w:cs="Times New Roman"/>
        </w:rPr>
        <w:t xml:space="preserve"> e organ</w:t>
      </w:r>
      <w:r w:rsidR="00D30FBC" w:rsidRPr="0005450B">
        <w:rPr>
          <w:rFonts w:ascii="Times New Roman" w:hAnsi="Times New Roman" w:cs="Times New Roman"/>
        </w:rPr>
        <w:t>iz</w:t>
      </w:r>
      <w:r w:rsidR="00ED4E7D" w:rsidRPr="0005450B">
        <w:rPr>
          <w:rFonts w:ascii="Times New Roman" w:hAnsi="Times New Roman" w:cs="Times New Roman"/>
        </w:rPr>
        <w:t>at</w:t>
      </w:r>
      <w:r w:rsidR="009F27B6" w:rsidRPr="0005450B">
        <w:rPr>
          <w:rFonts w:ascii="Times New Roman" w:hAnsi="Times New Roman" w:cs="Times New Roman"/>
        </w:rPr>
        <w:t>ë</w:t>
      </w:r>
      <w:r w:rsidR="00ED4E7D" w:rsidRPr="0005450B">
        <w:rPr>
          <w:rFonts w:ascii="Times New Roman" w:hAnsi="Times New Roman" w:cs="Times New Roman"/>
        </w:rPr>
        <w:t>s</w:t>
      </w:r>
      <w:r w:rsidRPr="0005450B">
        <w:rPr>
          <w:rFonts w:ascii="Times New Roman" w:hAnsi="Times New Roman" w:cs="Times New Roman"/>
        </w:rPr>
        <w:t xml:space="preserve">. </w:t>
      </w:r>
    </w:p>
    <w:p w:rsidR="009270BC" w:rsidRDefault="009270BC" w:rsidP="00884745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9270BC" w:rsidRDefault="00396649" w:rsidP="0088474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9270BC">
        <w:rPr>
          <w:rFonts w:ascii="Times New Roman" w:hAnsi="Times New Roman" w:cs="Times New Roman"/>
        </w:rPr>
        <w:t>Njësia përgjegjëse merr menjëherë masat dhe në çdo rast</w:t>
      </w:r>
      <w:r w:rsidR="00884745">
        <w:rPr>
          <w:rFonts w:ascii="Times New Roman" w:hAnsi="Times New Roman" w:cs="Times New Roman"/>
        </w:rPr>
        <w:t>,</w:t>
      </w:r>
      <w:r w:rsidRPr="009270BC">
        <w:rPr>
          <w:rFonts w:ascii="Times New Roman" w:hAnsi="Times New Roman" w:cs="Times New Roman"/>
        </w:rPr>
        <w:t xml:space="preserve"> </w:t>
      </w:r>
      <w:proofErr w:type="gramStart"/>
      <w:r w:rsidRPr="009270BC">
        <w:rPr>
          <w:rFonts w:ascii="Times New Roman" w:hAnsi="Times New Roman" w:cs="Times New Roman"/>
        </w:rPr>
        <w:t>jo</w:t>
      </w:r>
      <w:proofErr w:type="gramEnd"/>
      <w:r w:rsidRPr="009270BC">
        <w:rPr>
          <w:rFonts w:ascii="Times New Roman" w:hAnsi="Times New Roman" w:cs="Times New Roman"/>
        </w:rPr>
        <w:t xml:space="preserve"> më vonë se 10 ditë nga paraqitja e kërkesës, vendos me akt të ndërmjetëm të arsyetuar për riparimin e pasojave të paligjshme nga akti i hakmarrjes. Në rast të shkeljes së këtij afati, kërkesa</w:t>
      </w:r>
      <w:r w:rsidR="004F1FE1" w:rsidRPr="009270BC">
        <w:rPr>
          <w:rFonts w:ascii="Times New Roman" w:hAnsi="Times New Roman" w:cs="Times New Roman"/>
        </w:rPr>
        <w:t xml:space="preserve"> e sinjal</w:t>
      </w:r>
      <w:r w:rsidR="00ED4E7D" w:rsidRPr="009270BC">
        <w:rPr>
          <w:rFonts w:ascii="Times New Roman" w:hAnsi="Times New Roman" w:cs="Times New Roman"/>
        </w:rPr>
        <w:t>i</w:t>
      </w:r>
      <w:r w:rsidR="004F1FE1" w:rsidRPr="009270BC">
        <w:rPr>
          <w:rFonts w:ascii="Times New Roman" w:hAnsi="Times New Roman" w:cs="Times New Roman"/>
        </w:rPr>
        <w:t>z</w:t>
      </w:r>
      <w:r w:rsidR="00ED4E7D" w:rsidRPr="009270BC">
        <w:rPr>
          <w:rFonts w:ascii="Times New Roman" w:hAnsi="Times New Roman" w:cs="Times New Roman"/>
        </w:rPr>
        <w:t xml:space="preserve">uesit </w:t>
      </w:r>
      <w:r w:rsidRPr="009270BC">
        <w:rPr>
          <w:rFonts w:ascii="Times New Roman" w:hAnsi="Times New Roman" w:cs="Times New Roman"/>
        </w:rPr>
        <w:t xml:space="preserve">paraqitet tek ILDKPKI-ja, që vendos </w:t>
      </w:r>
      <w:proofErr w:type="gramStart"/>
      <w:r w:rsidRPr="009270BC">
        <w:rPr>
          <w:rFonts w:ascii="Times New Roman" w:hAnsi="Times New Roman" w:cs="Times New Roman"/>
        </w:rPr>
        <w:t>brenda</w:t>
      </w:r>
      <w:proofErr w:type="gramEnd"/>
      <w:r w:rsidRPr="009270BC">
        <w:rPr>
          <w:rFonts w:ascii="Times New Roman" w:hAnsi="Times New Roman" w:cs="Times New Roman"/>
        </w:rPr>
        <w:t xml:space="preserve"> 10 ditëve nga marrja e kërkesës</w:t>
      </w:r>
      <w:r w:rsidR="00ED4E7D" w:rsidRPr="009270BC">
        <w:rPr>
          <w:rFonts w:ascii="Times New Roman" w:hAnsi="Times New Roman" w:cs="Times New Roman"/>
        </w:rPr>
        <w:t xml:space="preserve"> p</w:t>
      </w:r>
      <w:r w:rsidR="009F27B6" w:rsidRPr="009270BC">
        <w:rPr>
          <w:rFonts w:ascii="Times New Roman" w:hAnsi="Times New Roman" w:cs="Times New Roman"/>
        </w:rPr>
        <w:t>ë</w:t>
      </w:r>
      <w:r w:rsidR="00ED4E7D" w:rsidRPr="009270BC">
        <w:rPr>
          <w:rFonts w:ascii="Times New Roman" w:hAnsi="Times New Roman" w:cs="Times New Roman"/>
        </w:rPr>
        <w:t>r riparimin e pasojave t</w:t>
      </w:r>
      <w:r w:rsidR="009F27B6" w:rsidRPr="009270BC">
        <w:rPr>
          <w:rFonts w:ascii="Times New Roman" w:hAnsi="Times New Roman" w:cs="Times New Roman"/>
        </w:rPr>
        <w:t>ë</w:t>
      </w:r>
      <w:r w:rsidR="00ED4E7D" w:rsidRPr="009270BC">
        <w:rPr>
          <w:rFonts w:ascii="Times New Roman" w:hAnsi="Times New Roman" w:cs="Times New Roman"/>
        </w:rPr>
        <w:t xml:space="preserve"> paligjshme t</w:t>
      </w:r>
      <w:r w:rsidR="009F27B6" w:rsidRPr="009270BC">
        <w:rPr>
          <w:rFonts w:ascii="Times New Roman" w:hAnsi="Times New Roman" w:cs="Times New Roman"/>
        </w:rPr>
        <w:t>ë</w:t>
      </w:r>
      <w:r w:rsidR="00ED4E7D" w:rsidRPr="009270BC">
        <w:rPr>
          <w:rFonts w:ascii="Times New Roman" w:hAnsi="Times New Roman" w:cs="Times New Roman"/>
        </w:rPr>
        <w:t xml:space="preserve"> aktit t</w:t>
      </w:r>
      <w:r w:rsidR="009F27B6" w:rsidRPr="009270BC">
        <w:rPr>
          <w:rFonts w:ascii="Times New Roman" w:hAnsi="Times New Roman" w:cs="Times New Roman"/>
        </w:rPr>
        <w:t>ë</w:t>
      </w:r>
      <w:r w:rsidR="00FF745F" w:rsidRPr="009270BC">
        <w:rPr>
          <w:rFonts w:ascii="Times New Roman" w:hAnsi="Times New Roman" w:cs="Times New Roman"/>
        </w:rPr>
        <w:t xml:space="preserve"> </w:t>
      </w:r>
      <w:r w:rsidR="00ED4E7D" w:rsidRPr="009270BC">
        <w:rPr>
          <w:rFonts w:ascii="Times New Roman" w:hAnsi="Times New Roman" w:cs="Times New Roman"/>
        </w:rPr>
        <w:t>hakmarrjes</w:t>
      </w:r>
      <w:r w:rsidR="009270BC">
        <w:rPr>
          <w:rFonts w:ascii="Times New Roman" w:hAnsi="Times New Roman" w:cs="Times New Roman"/>
        </w:rPr>
        <w:t>.</w:t>
      </w:r>
    </w:p>
    <w:p w:rsidR="00BC7A61" w:rsidRPr="00BC7A61" w:rsidRDefault="00BC7A61" w:rsidP="00BC7A61">
      <w:pPr>
        <w:pStyle w:val="ListParagraph"/>
        <w:rPr>
          <w:rFonts w:ascii="Times New Roman" w:hAnsi="Times New Roman" w:cs="Times New Roman"/>
        </w:rPr>
      </w:pPr>
    </w:p>
    <w:p w:rsidR="00BC7A61" w:rsidRDefault="00BC7A61" w:rsidP="00BC7A61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BF7B4B" w:rsidRDefault="00BF7B4B" w:rsidP="00BC7A61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BF7B4B" w:rsidRDefault="00BF7B4B" w:rsidP="00BC7A61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4F1FE1" w:rsidRPr="007642EC" w:rsidRDefault="004F1FE1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lastRenderedPageBreak/>
        <w:t>Neni</w:t>
      </w:r>
      <w:r w:rsidR="00DF1867" w:rsidRPr="007642EC">
        <w:rPr>
          <w:rFonts w:ascii="Times New Roman" w:hAnsi="Times New Roman" w:cs="Times New Roman"/>
          <w:b/>
        </w:rPr>
        <w:t xml:space="preserve"> </w:t>
      </w:r>
      <w:r w:rsidR="009270BC">
        <w:rPr>
          <w:rFonts w:ascii="Times New Roman" w:hAnsi="Times New Roman" w:cs="Times New Roman"/>
          <w:b/>
        </w:rPr>
        <w:t>7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4D5904">
        <w:rPr>
          <w:rFonts w:ascii="Times New Roman" w:hAnsi="Times New Roman" w:cs="Times New Roman"/>
          <w:b/>
        </w:rPr>
        <w:t>Hetimi administrativ dhe barra e provës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270BC" w:rsidRDefault="0047729E" w:rsidP="0088474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Njësia</w:t>
      </w:r>
      <w:r w:rsidRPr="0005450B">
        <w:rPr>
          <w:rFonts w:ascii="Times New Roman" w:hAnsi="Times New Roman" w:cs="Times New Roman"/>
          <w:lang w:val="en-GB"/>
        </w:rPr>
        <w:t xml:space="preserve"> përgjegjëse</w:t>
      </w:r>
      <w:r w:rsidRPr="0005450B">
        <w:rPr>
          <w:rFonts w:ascii="Times New Roman" w:hAnsi="Times New Roman" w:cs="Times New Roman"/>
        </w:rPr>
        <w:t xml:space="preserve"> </w:t>
      </w:r>
      <w:r w:rsidR="008F54F4" w:rsidRPr="009270BC">
        <w:rPr>
          <w:rFonts w:ascii="Times New Roman" w:hAnsi="Times New Roman" w:cs="Times New Roman"/>
        </w:rPr>
        <w:t>heton administrativisht pretendimet për hakmarrje për të përcaktuar nëse ka shkaqe të arsyeshme për të besuar që ka ndodhur, është duke ndodhur</w:t>
      </w:r>
      <w:r w:rsidR="00045460">
        <w:rPr>
          <w:rFonts w:ascii="Times New Roman" w:hAnsi="Times New Roman" w:cs="Times New Roman"/>
        </w:rPr>
        <w:t>,</w:t>
      </w:r>
      <w:r w:rsidR="008F54F4" w:rsidRPr="009270BC">
        <w:rPr>
          <w:rFonts w:ascii="Times New Roman" w:hAnsi="Times New Roman" w:cs="Times New Roman"/>
        </w:rPr>
        <w:t xml:space="preserve"> ose pritet</w:t>
      </w:r>
      <w:r w:rsidR="009270BC">
        <w:rPr>
          <w:rFonts w:ascii="Times New Roman" w:hAnsi="Times New Roman" w:cs="Times New Roman"/>
        </w:rPr>
        <w:t xml:space="preserve"> të ndodhë një akt hakmarrjeje.</w:t>
      </w:r>
    </w:p>
    <w:p w:rsidR="009270BC" w:rsidRDefault="009270BC" w:rsidP="00884745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4F1FE1" w:rsidRPr="007642EC" w:rsidRDefault="008F54F4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Neni</w:t>
      </w:r>
      <w:r w:rsidR="00DF1867" w:rsidRPr="007642EC">
        <w:rPr>
          <w:rFonts w:ascii="Times New Roman" w:hAnsi="Times New Roman" w:cs="Times New Roman"/>
          <w:b/>
        </w:rPr>
        <w:t xml:space="preserve"> </w:t>
      </w:r>
      <w:r w:rsidR="009270BC">
        <w:rPr>
          <w:rFonts w:ascii="Times New Roman" w:hAnsi="Times New Roman" w:cs="Times New Roman"/>
          <w:b/>
        </w:rPr>
        <w:t>8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Bashkëpunimi</w:t>
      </w:r>
    </w:p>
    <w:p w:rsidR="004F1FE1" w:rsidRPr="007642EC" w:rsidRDefault="00FF745F" w:rsidP="00884745">
      <w:pPr>
        <w:pStyle w:val="NormalWeb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42EC">
        <w:rPr>
          <w:rFonts w:ascii="Times New Roman" w:hAnsi="Times New Roman"/>
          <w:sz w:val="24"/>
          <w:szCs w:val="24"/>
        </w:rPr>
        <w:t>Organizat</w:t>
      </w:r>
      <w:r w:rsidR="004F1FE1" w:rsidRPr="007642EC">
        <w:rPr>
          <w:rFonts w:ascii="Times New Roman" w:hAnsi="Times New Roman"/>
          <w:sz w:val="24"/>
          <w:szCs w:val="24"/>
        </w:rPr>
        <w:t>a</w:t>
      </w:r>
      <w:r w:rsidRPr="007642EC">
        <w:rPr>
          <w:rFonts w:ascii="Times New Roman" w:hAnsi="Times New Roman"/>
          <w:sz w:val="24"/>
          <w:szCs w:val="24"/>
        </w:rPr>
        <w:t xml:space="preserve"> dhe sinjalizuesi</w:t>
      </w:r>
      <w:r w:rsidR="004F1FE1" w:rsidRPr="007642EC">
        <w:rPr>
          <w:rFonts w:ascii="Times New Roman" w:hAnsi="Times New Roman"/>
          <w:sz w:val="24"/>
          <w:szCs w:val="24"/>
        </w:rPr>
        <w:t xml:space="preserve"> bashkëpunon me </w:t>
      </w:r>
      <w:r w:rsidR="00CF585C" w:rsidRPr="0047729E">
        <w:rPr>
          <w:rFonts w:ascii="Times New Roman" w:hAnsi="Times New Roman"/>
          <w:sz w:val="24"/>
          <w:szCs w:val="24"/>
        </w:rPr>
        <w:t>Njësi</w:t>
      </w:r>
      <w:r w:rsidR="00CF585C">
        <w:rPr>
          <w:rFonts w:ascii="Times New Roman" w:hAnsi="Times New Roman"/>
          <w:sz w:val="24"/>
          <w:szCs w:val="24"/>
        </w:rPr>
        <w:t>në</w:t>
      </w:r>
      <w:r w:rsidR="00CF585C" w:rsidRPr="0047729E">
        <w:rPr>
          <w:rFonts w:ascii="Times New Roman" w:hAnsi="Times New Roman"/>
          <w:sz w:val="24"/>
          <w:szCs w:val="24"/>
        </w:rPr>
        <w:t xml:space="preserve"> përgjegjëse</w:t>
      </w:r>
      <w:r w:rsidR="00CF585C" w:rsidRPr="0005450B">
        <w:rPr>
          <w:rFonts w:ascii="Times New Roman" w:hAnsi="Times New Roman"/>
        </w:rPr>
        <w:t xml:space="preserve"> </w:t>
      </w:r>
      <w:r w:rsidR="004F1FE1" w:rsidRPr="007642EC">
        <w:rPr>
          <w:rFonts w:ascii="Times New Roman" w:hAnsi="Times New Roman"/>
          <w:sz w:val="24"/>
          <w:szCs w:val="24"/>
        </w:rPr>
        <w:t>në përcaktimin e fakteve dhe rrethanave të nevojshme për zgjidhjen e çështjes s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="004F1FE1" w:rsidRPr="007642EC">
        <w:rPr>
          <w:rFonts w:ascii="Times New Roman" w:hAnsi="Times New Roman"/>
          <w:sz w:val="24"/>
          <w:szCs w:val="24"/>
        </w:rPr>
        <w:t xml:space="preserve"> ak</w:t>
      </w:r>
      <w:r w:rsidR="002F591A" w:rsidRPr="007642EC">
        <w:rPr>
          <w:rFonts w:ascii="Times New Roman" w:hAnsi="Times New Roman"/>
          <w:sz w:val="24"/>
          <w:szCs w:val="24"/>
        </w:rPr>
        <w:t>t</w:t>
      </w:r>
      <w:r w:rsidR="004F1FE1" w:rsidRPr="007642EC">
        <w:rPr>
          <w:rFonts w:ascii="Times New Roman" w:hAnsi="Times New Roman"/>
          <w:sz w:val="24"/>
          <w:szCs w:val="24"/>
        </w:rPr>
        <w:t>it</w:t>
      </w:r>
      <w:r w:rsidR="002F591A" w:rsidRPr="007642EC">
        <w:rPr>
          <w:rFonts w:ascii="Times New Roman" w:hAnsi="Times New Roman"/>
          <w:sz w:val="24"/>
          <w:szCs w:val="24"/>
        </w:rPr>
        <w:t xml:space="preserve"> </w:t>
      </w:r>
      <w:r w:rsidR="004F1FE1" w:rsidRPr="007642EC">
        <w:rPr>
          <w:rFonts w:ascii="Times New Roman" w:hAnsi="Times New Roman"/>
          <w:sz w:val="24"/>
          <w:szCs w:val="24"/>
        </w:rPr>
        <w:t>t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="004F1FE1" w:rsidRPr="007642EC">
        <w:rPr>
          <w:rFonts w:ascii="Times New Roman" w:hAnsi="Times New Roman"/>
          <w:sz w:val="24"/>
          <w:szCs w:val="24"/>
        </w:rPr>
        <w:t xml:space="preserve"> hakmarrjes ndaj sinjalizuesit. Organizata 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="004F1FE1" w:rsidRPr="007642EC">
        <w:rPr>
          <w:rFonts w:ascii="Times New Roman" w:hAnsi="Times New Roman"/>
          <w:sz w:val="24"/>
          <w:szCs w:val="24"/>
        </w:rPr>
        <w:t>sht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Pr="007642EC">
        <w:rPr>
          <w:rFonts w:ascii="Times New Roman" w:hAnsi="Times New Roman"/>
          <w:sz w:val="24"/>
          <w:szCs w:val="24"/>
        </w:rPr>
        <w:t xml:space="preserve"> </w:t>
      </w:r>
      <w:r w:rsidR="009270BC">
        <w:rPr>
          <w:rFonts w:ascii="Times New Roman" w:hAnsi="Times New Roman"/>
          <w:sz w:val="24"/>
          <w:szCs w:val="24"/>
        </w:rPr>
        <w:t>e detyruar të paraqesë</w:t>
      </w:r>
      <w:r w:rsidR="004F1FE1" w:rsidRPr="007642EC">
        <w:rPr>
          <w:rFonts w:ascii="Times New Roman" w:hAnsi="Times New Roman"/>
          <w:sz w:val="24"/>
          <w:szCs w:val="24"/>
        </w:rPr>
        <w:t xml:space="preserve"> informacione, prova, dokumente, deklarata apo për t’u paraqitur pers</w:t>
      </w:r>
      <w:r w:rsidR="008F54F4" w:rsidRPr="007642EC">
        <w:rPr>
          <w:rFonts w:ascii="Times New Roman" w:hAnsi="Times New Roman"/>
          <w:sz w:val="24"/>
          <w:szCs w:val="24"/>
        </w:rPr>
        <w:t xml:space="preserve">onalisht përpara </w:t>
      </w:r>
      <w:r w:rsidR="00CF585C" w:rsidRPr="0047729E">
        <w:rPr>
          <w:rFonts w:ascii="Times New Roman" w:hAnsi="Times New Roman"/>
          <w:sz w:val="24"/>
          <w:szCs w:val="24"/>
        </w:rPr>
        <w:t>Njësi</w:t>
      </w:r>
      <w:r w:rsidR="00CF585C">
        <w:rPr>
          <w:rFonts w:ascii="Times New Roman" w:hAnsi="Times New Roman"/>
          <w:sz w:val="24"/>
          <w:szCs w:val="24"/>
        </w:rPr>
        <w:t>së</w:t>
      </w:r>
      <w:r w:rsidR="00CF585C" w:rsidRPr="0047729E">
        <w:rPr>
          <w:rFonts w:ascii="Times New Roman" w:hAnsi="Times New Roman"/>
          <w:sz w:val="24"/>
          <w:szCs w:val="24"/>
        </w:rPr>
        <w:t xml:space="preserve"> përgjegjëse</w:t>
      </w:r>
      <w:r w:rsidR="004F1FE1" w:rsidRPr="007642EC">
        <w:rPr>
          <w:rFonts w:ascii="Times New Roman" w:hAnsi="Times New Roman"/>
          <w:sz w:val="24"/>
          <w:szCs w:val="24"/>
        </w:rPr>
        <w:t xml:space="preserve">. </w:t>
      </w:r>
    </w:p>
    <w:p w:rsidR="004F1FE1" w:rsidRPr="007642EC" w:rsidRDefault="00FF745F" w:rsidP="00884745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42EC">
        <w:rPr>
          <w:rFonts w:ascii="Times New Roman" w:hAnsi="Times New Roman"/>
          <w:sz w:val="24"/>
          <w:szCs w:val="24"/>
        </w:rPr>
        <w:t xml:space="preserve">2.  </w:t>
      </w:r>
      <w:r w:rsidR="004F1FE1" w:rsidRPr="007642EC">
        <w:rPr>
          <w:rFonts w:ascii="Times New Roman" w:hAnsi="Times New Roman"/>
          <w:sz w:val="24"/>
          <w:szCs w:val="24"/>
        </w:rPr>
        <w:t>Organ</w:t>
      </w:r>
      <w:r w:rsidRPr="007642EC">
        <w:rPr>
          <w:rFonts w:ascii="Times New Roman" w:hAnsi="Times New Roman"/>
          <w:sz w:val="24"/>
          <w:szCs w:val="24"/>
        </w:rPr>
        <w:t>iz</w:t>
      </w:r>
      <w:r w:rsidR="009270BC">
        <w:rPr>
          <w:rFonts w:ascii="Times New Roman" w:hAnsi="Times New Roman"/>
          <w:sz w:val="24"/>
          <w:szCs w:val="24"/>
        </w:rPr>
        <w:t>ata ç</w:t>
      </w:r>
      <w:r w:rsidR="004F1FE1" w:rsidRPr="007642EC">
        <w:rPr>
          <w:rFonts w:ascii="Times New Roman" w:hAnsi="Times New Roman"/>
          <w:sz w:val="24"/>
          <w:szCs w:val="24"/>
        </w:rPr>
        <w:t xml:space="preserve">do deklarim </w:t>
      </w:r>
      <w:r w:rsidRPr="007642EC">
        <w:rPr>
          <w:rFonts w:ascii="Times New Roman" w:hAnsi="Times New Roman"/>
          <w:sz w:val="24"/>
          <w:szCs w:val="24"/>
        </w:rPr>
        <w:t xml:space="preserve">apo argument </w:t>
      </w:r>
      <w:r w:rsidR="004F1FE1" w:rsidRPr="007642EC">
        <w:rPr>
          <w:rFonts w:ascii="Times New Roman" w:hAnsi="Times New Roman"/>
          <w:sz w:val="24"/>
          <w:szCs w:val="24"/>
        </w:rPr>
        <w:t>t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Pr="007642EC">
        <w:rPr>
          <w:rFonts w:ascii="Times New Roman" w:hAnsi="Times New Roman"/>
          <w:sz w:val="24"/>
          <w:szCs w:val="24"/>
        </w:rPr>
        <w:t xml:space="preserve"> s</w:t>
      </w:r>
      <w:r w:rsidR="004F1FE1" w:rsidRPr="007642EC">
        <w:rPr>
          <w:rFonts w:ascii="Times New Roman" w:hAnsi="Times New Roman"/>
          <w:sz w:val="24"/>
          <w:szCs w:val="24"/>
        </w:rPr>
        <w:t>a</w:t>
      </w:r>
      <w:r w:rsidRPr="007642EC">
        <w:rPr>
          <w:rFonts w:ascii="Times New Roman" w:hAnsi="Times New Roman"/>
          <w:sz w:val="24"/>
          <w:szCs w:val="24"/>
        </w:rPr>
        <w:t>j</w:t>
      </w:r>
      <w:r w:rsidR="004F1FE1" w:rsidRPr="007642EC">
        <w:rPr>
          <w:rFonts w:ascii="Times New Roman" w:hAnsi="Times New Roman"/>
          <w:sz w:val="24"/>
          <w:szCs w:val="24"/>
        </w:rPr>
        <w:t xml:space="preserve"> e paraqet me shkrim. </w:t>
      </w:r>
    </w:p>
    <w:p w:rsidR="004F1FE1" w:rsidRPr="007642EC" w:rsidRDefault="00FF745F" w:rsidP="00884745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42EC">
        <w:rPr>
          <w:rFonts w:ascii="Times New Roman" w:hAnsi="Times New Roman"/>
          <w:b/>
          <w:bCs/>
          <w:sz w:val="24"/>
          <w:szCs w:val="24"/>
        </w:rPr>
        <w:t>Neni</w:t>
      </w:r>
      <w:r w:rsidR="00DF1867" w:rsidRPr="007642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DD5">
        <w:rPr>
          <w:rFonts w:ascii="Times New Roman" w:hAnsi="Times New Roman"/>
          <w:b/>
          <w:bCs/>
          <w:sz w:val="24"/>
          <w:szCs w:val="24"/>
        </w:rPr>
        <w:t>9</w:t>
      </w:r>
    </w:p>
    <w:p w:rsidR="004F1FE1" w:rsidRPr="007642EC" w:rsidRDefault="00FF745F" w:rsidP="00884745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29E">
        <w:rPr>
          <w:rFonts w:ascii="Times New Roman" w:hAnsi="Times New Roman"/>
          <w:b/>
          <w:bCs/>
          <w:sz w:val="24"/>
          <w:szCs w:val="24"/>
        </w:rPr>
        <w:t>M</w:t>
      </w:r>
      <w:r w:rsidR="004F1FE1" w:rsidRPr="0047729E">
        <w:rPr>
          <w:rFonts w:ascii="Times New Roman" w:hAnsi="Times New Roman"/>
          <w:b/>
          <w:bCs/>
          <w:sz w:val="24"/>
          <w:szCs w:val="24"/>
        </w:rPr>
        <w:t>jetet e kërkimit të provës</w:t>
      </w:r>
    </w:p>
    <w:p w:rsidR="00FF745F" w:rsidRPr="007642EC" w:rsidRDefault="00FF745F" w:rsidP="00884745">
      <w:pPr>
        <w:pStyle w:val="NormalWeb"/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</w:rPr>
      </w:pPr>
    </w:p>
    <w:p w:rsidR="00FB0DD5" w:rsidRDefault="004F1FE1" w:rsidP="0088474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7642EC">
        <w:rPr>
          <w:rFonts w:ascii="Times New Roman" w:hAnsi="Times New Roman"/>
          <w:sz w:val="24"/>
          <w:szCs w:val="24"/>
        </w:rPr>
        <w:t>Gjat</w:t>
      </w:r>
      <w:r w:rsidR="008F54F4" w:rsidRPr="007642EC">
        <w:rPr>
          <w:rFonts w:ascii="Times New Roman" w:hAnsi="Times New Roman"/>
          <w:sz w:val="24"/>
          <w:szCs w:val="24"/>
        </w:rPr>
        <w:t>ë</w:t>
      </w:r>
      <w:r w:rsidR="002F591A" w:rsidRPr="007642EC">
        <w:rPr>
          <w:rFonts w:ascii="Times New Roman" w:hAnsi="Times New Roman"/>
          <w:sz w:val="24"/>
          <w:szCs w:val="24"/>
        </w:rPr>
        <w:t xml:space="preserve"> hetimit administrativ </w:t>
      </w:r>
      <w:r w:rsidR="0047729E" w:rsidRPr="0047729E">
        <w:rPr>
          <w:rFonts w:ascii="Times New Roman" w:hAnsi="Times New Roman"/>
          <w:sz w:val="24"/>
          <w:szCs w:val="24"/>
        </w:rPr>
        <w:t>Njësi</w:t>
      </w:r>
      <w:r w:rsidR="0047729E">
        <w:rPr>
          <w:rFonts w:ascii="Times New Roman" w:hAnsi="Times New Roman"/>
          <w:sz w:val="24"/>
          <w:szCs w:val="24"/>
        </w:rPr>
        <w:t>a</w:t>
      </w:r>
      <w:r w:rsidR="0047729E" w:rsidRPr="0047729E">
        <w:rPr>
          <w:rFonts w:ascii="Times New Roman" w:hAnsi="Times New Roman"/>
          <w:sz w:val="24"/>
          <w:szCs w:val="24"/>
        </w:rPr>
        <w:t xml:space="preserve"> përgjegjëse</w:t>
      </w:r>
      <w:r w:rsidR="0047729E" w:rsidRPr="0005450B">
        <w:rPr>
          <w:rFonts w:ascii="Times New Roman" w:hAnsi="Times New Roman"/>
        </w:rPr>
        <w:t xml:space="preserve"> </w:t>
      </w:r>
      <w:r w:rsidR="008F54F4" w:rsidRPr="007642EC">
        <w:rPr>
          <w:rFonts w:ascii="Times New Roman" w:hAnsi="Times New Roman"/>
          <w:sz w:val="24"/>
          <w:szCs w:val="24"/>
        </w:rPr>
        <w:t>m</w:t>
      </w:r>
      <w:r w:rsidRPr="007642EC">
        <w:rPr>
          <w:rFonts w:ascii="Times New Roman" w:hAnsi="Times New Roman"/>
          <w:sz w:val="24"/>
          <w:szCs w:val="24"/>
        </w:rPr>
        <w:t>e qëllim përcaktimin e gjendjes së fakteve dhe rrethanave që kanë lidh</w:t>
      </w:r>
      <w:r w:rsidR="00FF745F" w:rsidRPr="007642EC">
        <w:rPr>
          <w:rFonts w:ascii="Times New Roman" w:hAnsi="Times New Roman"/>
          <w:sz w:val="24"/>
          <w:szCs w:val="24"/>
        </w:rPr>
        <w:t xml:space="preserve">je me çështjen </w:t>
      </w:r>
      <w:r w:rsidRPr="007642EC">
        <w:rPr>
          <w:rFonts w:ascii="Times New Roman" w:hAnsi="Times New Roman"/>
          <w:sz w:val="24"/>
          <w:szCs w:val="24"/>
        </w:rPr>
        <w:t xml:space="preserve">mund: </w:t>
      </w:r>
    </w:p>
    <w:p w:rsidR="00FB0DD5" w:rsidRDefault="004F1FE1" w:rsidP="00884745">
      <w:pPr>
        <w:pStyle w:val="NormalWeb"/>
        <w:numPr>
          <w:ilvl w:val="1"/>
          <w:numId w:val="8"/>
        </w:numPr>
        <w:spacing w:before="0" w:beforeAutospacing="0" w:after="0" w:afterAutospacing="0" w:line="276" w:lineRule="auto"/>
        <w:ind w:left="540" w:hanging="270"/>
        <w:jc w:val="both"/>
        <w:rPr>
          <w:rFonts w:ascii="Times New Roman" w:hAnsi="Times New Roman"/>
          <w:sz w:val="24"/>
          <w:szCs w:val="24"/>
        </w:rPr>
      </w:pPr>
      <w:r w:rsidRPr="00FB0DD5">
        <w:rPr>
          <w:rFonts w:ascii="Times New Roman" w:hAnsi="Times New Roman"/>
          <w:sz w:val="24"/>
          <w:szCs w:val="24"/>
        </w:rPr>
        <w:t>të mbledhë deklarata nga palë</w:t>
      </w:r>
      <w:r w:rsidR="00884745">
        <w:rPr>
          <w:rFonts w:ascii="Times New Roman" w:hAnsi="Times New Roman"/>
          <w:sz w:val="24"/>
          <w:szCs w:val="24"/>
        </w:rPr>
        <w:t>t, dëshmitarët</w:t>
      </w:r>
      <w:r w:rsidR="00FB0DD5">
        <w:rPr>
          <w:rFonts w:ascii="Times New Roman" w:hAnsi="Times New Roman"/>
          <w:sz w:val="24"/>
          <w:szCs w:val="24"/>
        </w:rPr>
        <w:t xml:space="preserve"> dhe ekspertë;</w:t>
      </w:r>
    </w:p>
    <w:p w:rsidR="00FB0DD5" w:rsidRDefault="004F1FE1" w:rsidP="00884745">
      <w:pPr>
        <w:pStyle w:val="NormalWeb"/>
        <w:numPr>
          <w:ilvl w:val="1"/>
          <w:numId w:val="8"/>
        </w:numPr>
        <w:spacing w:before="0" w:beforeAutospacing="0" w:after="0" w:afterAutospacing="0" w:line="276" w:lineRule="auto"/>
        <w:ind w:left="540" w:hanging="270"/>
        <w:jc w:val="both"/>
        <w:rPr>
          <w:rFonts w:ascii="Times New Roman" w:hAnsi="Times New Roman"/>
          <w:sz w:val="24"/>
          <w:szCs w:val="24"/>
        </w:rPr>
      </w:pPr>
      <w:r w:rsidRPr="00FB0DD5">
        <w:rPr>
          <w:rFonts w:ascii="Times New Roman" w:hAnsi="Times New Roman"/>
          <w:sz w:val="24"/>
          <w:szCs w:val="24"/>
        </w:rPr>
        <w:t>të marrë dokumente dhe dokumente të tjera të dokumentuara nëpërmjet mjeteve fotografike, të regjistrimit</w:t>
      </w:r>
      <w:r w:rsidR="00FB0DD5">
        <w:rPr>
          <w:rFonts w:ascii="Times New Roman" w:hAnsi="Times New Roman"/>
          <w:sz w:val="24"/>
          <w:szCs w:val="24"/>
        </w:rPr>
        <w:t xml:space="preserve"> ose mjeteve të tjera teknike;</w:t>
      </w:r>
    </w:p>
    <w:p w:rsidR="00FF745F" w:rsidRDefault="004F1FE1" w:rsidP="00884745">
      <w:pPr>
        <w:pStyle w:val="NormalWeb"/>
        <w:numPr>
          <w:ilvl w:val="1"/>
          <w:numId w:val="8"/>
        </w:numPr>
        <w:spacing w:before="0" w:beforeAutospacing="0" w:after="0" w:afterAutospacing="0" w:line="276" w:lineRule="auto"/>
        <w:ind w:left="540" w:hanging="270"/>
        <w:jc w:val="both"/>
        <w:rPr>
          <w:rFonts w:ascii="Times New Roman" w:hAnsi="Times New Roman"/>
          <w:sz w:val="24"/>
          <w:szCs w:val="24"/>
        </w:rPr>
      </w:pPr>
      <w:r w:rsidRPr="00FB0DD5">
        <w:rPr>
          <w:rFonts w:ascii="Times New Roman" w:hAnsi="Times New Roman"/>
          <w:sz w:val="24"/>
          <w:szCs w:val="24"/>
        </w:rPr>
        <w:t>të vizitojë vende t</w:t>
      </w:r>
      <w:r w:rsidR="008F54F4" w:rsidRPr="00FB0DD5">
        <w:rPr>
          <w:rFonts w:ascii="Times New Roman" w:hAnsi="Times New Roman"/>
          <w:sz w:val="24"/>
          <w:szCs w:val="24"/>
        </w:rPr>
        <w:t>ë</w:t>
      </w:r>
      <w:r w:rsidRPr="00FB0DD5">
        <w:rPr>
          <w:rFonts w:ascii="Times New Roman" w:hAnsi="Times New Roman"/>
          <w:sz w:val="24"/>
          <w:szCs w:val="24"/>
        </w:rPr>
        <w:t xml:space="preserve"> caktuara. </w:t>
      </w:r>
    </w:p>
    <w:p w:rsidR="00FB0DD5" w:rsidRPr="00FB0DD5" w:rsidRDefault="00FB0DD5" w:rsidP="00884745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FB0DD5" w:rsidRDefault="004F1FE1" w:rsidP="0088474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7642EC">
        <w:rPr>
          <w:rFonts w:ascii="Times New Roman" w:hAnsi="Times New Roman"/>
          <w:sz w:val="24"/>
          <w:szCs w:val="24"/>
        </w:rPr>
        <w:t xml:space="preserve">Kur një provë, nga e cila varet zgjidhja e çështjes </w:t>
      </w:r>
      <w:r w:rsidR="008F54F4" w:rsidRPr="007642EC">
        <w:rPr>
          <w:rFonts w:ascii="Times New Roman" w:hAnsi="Times New Roman"/>
          <w:sz w:val="24"/>
          <w:szCs w:val="24"/>
        </w:rPr>
        <w:t>s</w:t>
      </w:r>
      <w:r w:rsidR="00EA02D1" w:rsidRPr="007642EC">
        <w:rPr>
          <w:rFonts w:ascii="Times New Roman" w:hAnsi="Times New Roman"/>
          <w:sz w:val="24"/>
          <w:szCs w:val="24"/>
        </w:rPr>
        <w:t>ë</w:t>
      </w:r>
      <w:r w:rsidR="008F54F4" w:rsidRPr="007642EC">
        <w:rPr>
          <w:rFonts w:ascii="Times New Roman" w:hAnsi="Times New Roman"/>
          <w:sz w:val="24"/>
          <w:szCs w:val="24"/>
        </w:rPr>
        <w:t xml:space="preserve"> aktit t</w:t>
      </w:r>
      <w:r w:rsidR="00EA02D1" w:rsidRPr="007642EC">
        <w:rPr>
          <w:rFonts w:ascii="Times New Roman" w:hAnsi="Times New Roman"/>
          <w:sz w:val="24"/>
          <w:szCs w:val="24"/>
        </w:rPr>
        <w:t>ë</w:t>
      </w:r>
      <w:r w:rsidR="008F54F4" w:rsidRPr="007642EC">
        <w:rPr>
          <w:rFonts w:ascii="Times New Roman" w:hAnsi="Times New Roman"/>
          <w:sz w:val="24"/>
          <w:szCs w:val="24"/>
        </w:rPr>
        <w:t xml:space="preserve"> hakmarrjes </w:t>
      </w:r>
      <w:r w:rsidRPr="007642EC">
        <w:rPr>
          <w:rFonts w:ascii="Times New Roman" w:hAnsi="Times New Roman"/>
          <w:sz w:val="24"/>
          <w:szCs w:val="24"/>
        </w:rPr>
        <w:t>ose që ndikon në sqarimin e saj, ka rrezik të zhduket ose të vështirësohet ose bëhet e pamu</w:t>
      </w:r>
      <w:r w:rsidR="008F54F4" w:rsidRPr="007642EC">
        <w:rPr>
          <w:rFonts w:ascii="Times New Roman" w:hAnsi="Times New Roman"/>
          <w:sz w:val="24"/>
          <w:szCs w:val="24"/>
        </w:rPr>
        <w:t xml:space="preserve">ndur marrja e saj, </w:t>
      </w:r>
      <w:r w:rsidR="004D5904" w:rsidRPr="004D5904">
        <w:rPr>
          <w:rFonts w:ascii="Times New Roman" w:hAnsi="Times New Roman"/>
          <w:sz w:val="24"/>
          <w:szCs w:val="24"/>
        </w:rPr>
        <w:t>Njësia përgjegjëse</w:t>
      </w:r>
      <w:r w:rsidR="004D5904" w:rsidRPr="0005450B">
        <w:rPr>
          <w:rFonts w:ascii="Times New Roman" w:hAnsi="Times New Roman"/>
        </w:rPr>
        <w:t xml:space="preserve"> </w:t>
      </w:r>
      <w:r w:rsidRPr="007642EC">
        <w:rPr>
          <w:rFonts w:ascii="Times New Roman" w:hAnsi="Times New Roman"/>
          <w:sz w:val="24"/>
          <w:szCs w:val="24"/>
        </w:rPr>
        <w:t>kryesisht apo me kë</w:t>
      </w:r>
      <w:r w:rsidR="008F54F4" w:rsidRPr="007642EC">
        <w:rPr>
          <w:rFonts w:ascii="Times New Roman" w:hAnsi="Times New Roman"/>
          <w:sz w:val="24"/>
          <w:szCs w:val="24"/>
        </w:rPr>
        <w:t>rkesën e sinjalizuesit</w:t>
      </w:r>
      <w:r w:rsidRPr="007642EC">
        <w:rPr>
          <w:rFonts w:ascii="Times New Roman" w:hAnsi="Times New Roman"/>
          <w:sz w:val="24"/>
          <w:szCs w:val="24"/>
        </w:rPr>
        <w:t>, mund të vendosë marrjen më parë të kë</w:t>
      </w:r>
      <w:r w:rsidR="00FB0DD5">
        <w:rPr>
          <w:rFonts w:ascii="Times New Roman" w:hAnsi="Times New Roman"/>
          <w:sz w:val="24"/>
          <w:szCs w:val="24"/>
        </w:rPr>
        <w:t>saj prove (sigurimi i provës).</w:t>
      </w:r>
    </w:p>
    <w:p w:rsidR="00FB0DD5" w:rsidRDefault="00FB0DD5" w:rsidP="00884745">
      <w:pPr>
        <w:pStyle w:val="NormalWeb"/>
        <w:spacing w:before="0" w:beforeAutospacing="0" w:after="0" w:afterAutospacing="0" w:line="276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:rsidR="004F1FE1" w:rsidRPr="00FB0DD5" w:rsidRDefault="004D5904" w:rsidP="0088474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4D5904">
        <w:rPr>
          <w:rFonts w:ascii="Times New Roman" w:hAnsi="Times New Roman"/>
          <w:sz w:val="24"/>
          <w:szCs w:val="24"/>
        </w:rPr>
        <w:t>Njësia përgjegjëse</w:t>
      </w:r>
      <w:r w:rsidRPr="0005450B">
        <w:rPr>
          <w:rFonts w:ascii="Times New Roman" w:hAnsi="Times New Roman"/>
        </w:rPr>
        <w:t xml:space="preserve"> </w:t>
      </w:r>
      <w:r w:rsidR="004F1FE1" w:rsidRPr="00FB0DD5">
        <w:rPr>
          <w:rFonts w:ascii="Times New Roman" w:hAnsi="Times New Roman"/>
          <w:sz w:val="24"/>
          <w:szCs w:val="24"/>
        </w:rPr>
        <w:t xml:space="preserve">që zhvillon procedurën administrative mund të vendosë sigurimin e provës edhe përpara fillimit të procedurës administrative. Sigurimi i provës mund të bëhet edhe në çdo fazë të procedurës administrative. Përgjegjësia për sigurimin e provave bie mbi </w:t>
      </w:r>
      <w:r w:rsidRPr="004D5904">
        <w:rPr>
          <w:rFonts w:ascii="Times New Roman" w:hAnsi="Times New Roman"/>
          <w:sz w:val="24"/>
          <w:szCs w:val="24"/>
        </w:rPr>
        <w:t>Njësine përgjegjëse</w:t>
      </w:r>
      <w:r w:rsidR="004F1FE1" w:rsidRPr="00FB0DD5">
        <w:rPr>
          <w:rFonts w:ascii="Times New Roman" w:hAnsi="Times New Roman"/>
          <w:sz w:val="24"/>
          <w:szCs w:val="24"/>
        </w:rPr>
        <w:t xml:space="preserve">. </w:t>
      </w:r>
    </w:p>
    <w:p w:rsidR="004F1FE1" w:rsidRDefault="004F1FE1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F7B4B" w:rsidRDefault="00BF7B4B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BF7B4B" w:rsidRPr="007642EC" w:rsidRDefault="00BF7B4B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4F1FE1" w:rsidRPr="007642EC" w:rsidRDefault="00B80BF0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lastRenderedPageBreak/>
        <w:t>Neni</w:t>
      </w:r>
      <w:r w:rsidR="00DF1867" w:rsidRPr="007642EC">
        <w:rPr>
          <w:rFonts w:ascii="Times New Roman" w:hAnsi="Times New Roman" w:cs="Times New Roman"/>
          <w:b/>
        </w:rPr>
        <w:t xml:space="preserve"> </w:t>
      </w:r>
      <w:r w:rsidR="00FB0DD5">
        <w:rPr>
          <w:rFonts w:ascii="Times New Roman" w:hAnsi="Times New Roman" w:cs="Times New Roman"/>
          <w:b/>
        </w:rPr>
        <w:t>10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Njoftimi i sinjalizuesit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FB0DD5" w:rsidRDefault="004D5904" w:rsidP="0088474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Njësia</w:t>
      </w:r>
      <w:r w:rsidRPr="0005450B">
        <w:rPr>
          <w:rFonts w:ascii="Times New Roman" w:hAnsi="Times New Roman" w:cs="Times New Roman"/>
          <w:lang w:val="en-GB"/>
        </w:rPr>
        <w:t xml:space="preserve"> përgjegjëse</w:t>
      </w:r>
      <w:r w:rsidRPr="0005450B">
        <w:rPr>
          <w:rFonts w:ascii="Times New Roman" w:hAnsi="Times New Roman" w:cs="Times New Roman"/>
        </w:rPr>
        <w:t xml:space="preserve"> </w:t>
      </w:r>
      <w:r w:rsidR="00396649" w:rsidRPr="00FB0DD5">
        <w:rPr>
          <w:rFonts w:ascii="Times New Roman" w:hAnsi="Times New Roman" w:cs="Times New Roman"/>
        </w:rPr>
        <w:t xml:space="preserve">njofton me shkrim sinjalizuesin </w:t>
      </w:r>
      <w:proofErr w:type="gramStart"/>
      <w:r w:rsidR="00396649" w:rsidRPr="00FB0DD5">
        <w:rPr>
          <w:rFonts w:ascii="Times New Roman" w:hAnsi="Times New Roman" w:cs="Times New Roman"/>
        </w:rPr>
        <w:t>brenda</w:t>
      </w:r>
      <w:proofErr w:type="gramEnd"/>
      <w:r w:rsidR="00396649" w:rsidRPr="00FB0DD5">
        <w:rPr>
          <w:rFonts w:ascii="Times New Roman" w:hAnsi="Times New Roman" w:cs="Times New Roman"/>
        </w:rPr>
        <w:t xml:space="preserve"> 10 ditëve nga data e marrjes së kërkesës për statusin e hetimit administrativ të kërkesës për mbrojtje dhe për çdo </w:t>
      </w:r>
      <w:r w:rsidR="00FB0DD5">
        <w:rPr>
          <w:rFonts w:ascii="Times New Roman" w:hAnsi="Times New Roman" w:cs="Times New Roman"/>
        </w:rPr>
        <w:t>veprim procedural të ndërmarrë.</w:t>
      </w:r>
    </w:p>
    <w:p w:rsidR="00FB0DD5" w:rsidRDefault="00FB0DD5" w:rsidP="00884745">
      <w:pPr>
        <w:pStyle w:val="ListParagraph"/>
        <w:widowControl w:val="0"/>
        <w:autoSpaceDE w:val="0"/>
        <w:autoSpaceDN w:val="0"/>
        <w:adjustRightInd w:val="0"/>
        <w:spacing w:line="276" w:lineRule="auto"/>
        <w:ind w:left="270"/>
        <w:jc w:val="both"/>
        <w:rPr>
          <w:rFonts w:ascii="Times New Roman" w:hAnsi="Times New Roman" w:cs="Times New Roman"/>
        </w:rPr>
      </w:pPr>
    </w:p>
    <w:p w:rsidR="00396649" w:rsidRDefault="00396649" w:rsidP="0088474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="Times New Roman" w:hAnsi="Times New Roman" w:cs="Times New Roman"/>
        </w:rPr>
      </w:pPr>
      <w:r w:rsidRPr="00FB0DD5">
        <w:rPr>
          <w:rFonts w:ascii="Times New Roman" w:hAnsi="Times New Roman" w:cs="Times New Roman"/>
        </w:rPr>
        <w:t xml:space="preserve">Pavarësisht nga afatet e njoftimit, </w:t>
      </w:r>
      <w:r w:rsidR="004D5904">
        <w:rPr>
          <w:rFonts w:ascii="Times New Roman" w:hAnsi="Times New Roman" w:cs="Times New Roman"/>
          <w:lang w:val="en-GB"/>
        </w:rPr>
        <w:t>Njësia</w:t>
      </w:r>
      <w:r w:rsidR="004D5904" w:rsidRPr="0005450B">
        <w:rPr>
          <w:rFonts w:ascii="Times New Roman" w:hAnsi="Times New Roman" w:cs="Times New Roman"/>
          <w:lang w:val="en-GB"/>
        </w:rPr>
        <w:t xml:space="preserve"> përgjegjëse</w:t>
      </w:r>
      <w:r w:rsidR="004D5904" w:rsidRPr="0005450B">
        <w:rPr>
          <w:rFonts w:ascii="Times New Roman" w:hAnsi="Times New Roman" w:cs="Times New Roman"/>
        </w:rPr>
        <w:t xml:space="preserve"> </w:t>
      </w:r>
      <w:r w:rsidRPr="00FB0DD5">
        <w:rPr>
          <w:rFonts w:ascii="Times New Roman" w:hAnsi="Times New Roman" w:cs="Times New Roman"/>
        </w:rPr>
        <w:t xml:space="preserve">është e detyruar t’i përgjigjet çdo kërkese për informacion me shkrim, paraqitur në çdo kohë nga sinjalizuesi në lidhje me kërkesën e tij. </w:t>
      </w:r>
    </w:p>
    <w:p w:rsidR="00884745" w:rsidRPr="00884745" w:rsidRDefault="00884745" w:rsidP="00884745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884745" w:rsidRPr="00884745" w:rsidRDefault="00884745" w:rsidP="00884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D807E8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 xml:space="preserve">KREU IV </w:t>
      </w:r>
    </w:p>
    <w:p w:rsidR="00D807E8" w:rsidRPr="002A53B2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2A53B2">
        <w:rPr>
          <w:rFonts w:ascii="Times New Roman" w:hAnsi="Times New Roman" w:cs="Times New Roman"/>
        </w:rPr>
        <w:t>AFATI PËR PROCEDURËN E HETIMIT</w:t>
      </w:r>
    </w:p>
    <w:p w:rsidR="00D807E8" w:rsidRDefault="00D807E8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B80BF0" w:rsidRPr="007642EC" w:rsidRDefault="00B80BF0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Neni</w:t>
      </w:r>
      <w:r w:rsidR="00DF1867" w:rsidRPr="007642EC">
        <w:rPr>
          <w:rFonts w:ascii="Times New Roman" w:hAnsi="Times New Roman" w:cs="Times New Roman"/>
          <w:b/>
        </w:rPr>
        <w:t xml:space="preserve"> 1</w:t>
      </w:r>
      <w:r w:rsidR="00307625">
        <w:rPr>
          <w:rFonts w:ascii="Times New Roman" w:hAnsi="Times New Roman" w:cs="Times New Roman"/>
          <w:b/>
        </w:rPr>
        <w:t>1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Masat në përfundim të hetimit administrativ</w:t>
      </w:r>
    </w:p>
    <w:p w:rsidR="00FF745F" w:rsidRPr="007642EC" w:rsidRDefault="00FF745F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FB0DD5" w:rsidRDefault="00396649" w:rsidP="0088474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="Times New Roman" w:hAnsi="Times New Roman" w:cs="Times New Roman"/>
        </w:rPr>
      </w:pPr>
      <w:r w:rsidRPr="004D5904">
        <w:rPr>
          <w:rFonts w:ascii="Times New Roman" w:hAnsi="Times New Roman" w:cs="Times New Roman"/>
        </w:rPr>
        <w:t xml:space="preserve">Nëse në përfundim të hetimit administrativ rezulton se është kryer një akt hakmarrjeje ndaj sinjalizuesit nga autoriteti publik, </w:t>
      </w:r>
      <w:r w:rsidR="004D5904" w:rsidRPr="004D5904">
        <w:rPr>
          <w:rFonts w:ascii="Times New Roman" w:hAnsi="Times New Roman" w:cs="Times New Roman"/>
          <w:lang w:val="en-GB"/>
        </w:rPr>
        <w:t>Njësia përgjegjëse</w:t>
      </w:r>
      <w:r w:rsidR="004D5904" w:rsidRPr="004D5904">
        <w:rPr>
          <w:rFonts w:ascii="Times New Roman" w:hAnsi="Times New Roman" w:cs="Times New Roman"/>
        </w:rPr>
        <w:t xml:space="preserve"> </w:t>
      </w:r>
      <w:r w:rsidRPr="004D5904">
        <w:rPr>
          <w:rFonts w:ascii="Times New Roman" w:hAnsi="Times New Roman" w:cs="Times New Roman"/>
        </w:rPr>
        <w:t xml:space="preserve">i drejtohet </w:t>
      </w:r>
      <w:r w:rsidR="00884745" w:rsidRPr="004D5904">
        <w:rPr>
          <w:rFonts w:ascii="Times New Roman" w:hAnsi="Times New Roman" w:cs="Times New Roman"/>
        </w:rPr>
        <w:t xml:space="preserve">me shkrim </w:t>
      </w:r>
      <w:r w:rsidRPr="004D5904">
        <w:rPr>
          <w:rFonts w:ascii="Times New Roman" w:hAnsi="Times New Roman" w:cs="Times New Roman"/>
        </w:rPr>
        <w:t xml:space="preserve">organit kompetent, sipas legjislacionit në fuqi, për të urdhëruar autoritetin publik për marrjen e të gjitha masave për riparimin e shkeljes së kryer. </w:t>
      </w:r>
    </w:p>
    <w:p w:rsidR="004D5904" w:rsidRPr="004D5904" w:rsidRDefault="004D5904" w:rsidP="004D5904">
      <w:pPr>
        <w:pStyle w:val="ListParagraph"/>
        <w:widowControl w:val="0"/>
        <w:autoSpaceDE w:val="0"/>
        <w:autoSpaceDN w:val="0"/>
        <w:adjustRightInd w:val="0"/>
        <w:spacing w:line="276" w:lineRule="auto"/>
        <w:ind w:left="270"/>
        <w:jc w:val="both"/>
        <w:rPr>
          <w:rFonts w:ascii="Times New Roman" w:hAnsi="Times New Roman" w:cs="Times New Roman"/>
        </w:rPr>
      </w:pPr>
    </w:p>
    <w:p w:rsidR="00D30FBC" w:rsidRPr="007642EC" w:rsidRDefault="00D30FBC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D4E7D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>Neni</w:t>
      </w:r>
      <w:r w:rsidR="00DF1867" w:rsidRPr="007642EC">
        <w:rPr>
          <w:rFonts w:ascii="Times New Roman" w:hAnsi="Times New Roman" w:cs="Times New Roman"/>
          <w:b/>
        </w:rPr>
        <w:t xml:space="preserve"> 1</w:t>
      </w:r>
      <w:r w:rsidR="00307625">
        <w:rPr>
          <w:rFonts w:ascii="Times New Roman" w:hAnsi="Times New Roman" w:cs="Times New Roman"/>
          <w:b/>
        </w:rPr>
        <w:t>2</w:t>
      </w:r>
    </w:p>
    <w:p w:rsidR="00ED4E7D" w:rsidRPr="007642EC" w:rsidRDefault="00ED4E7D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7642EC">
        <w:rPr>
          <w:rFonts w:ascii="Times New Roman" w:hAnsi="Times New Roman" w:cs="Times New Roman"/>
          <w:b/>
        </w:rPr>
        <w:t xml:space="preserve">Afati </w:t>
      </w:r>
      <w:r w:rsidR="00D30FBC" w:rsidRPr="007642EC">
        <w:rPr>
          <w:rFonts w:ascii="Times New Roman" w:hAnsi="Times New Roman" w:cs="Times New Roman"/>
          <w:b/>
        </w:rPr>
        <w:t>i</w:t>
      </w:r>
      <w:r w:rsidRPr="007642EC">
        <w:rPr>
          <w:rFonts w:ascii="Times New Roman" w:hAnsi="Times New Roman" w:cs="Times New Roman"/>
          <w:b/>
        </w:rPr>
        <w:t xml:space="preserve"> p</w:t>
      </w:r>
      <w:r w:rsidR="009F27B6" w:rsidRPr="007642EC">
        <w:rPr>
          <w:rFonts w:ascii="Times New Roman" w:hAnsi="Times New Roman" w:cs="Times New Roman"/>
          <w:b/>
        </w:rPr>
        <w:t>ë</w:t>
      </w:r>
      <w:r w:rsidRPr="007642EC">
        <w:rPr>
          <w:rFonts w:ascii="Times New Roman" w:hAnsi="Times New Roman" w:cs="Times New Roman"/>
          <w:b/>
        </w:rPr>
        <w:t>rfundimit t</w:t>
      </w:r>
      <w:r w:rsidR="009F27B6" w:rsidRPr="007642EC">
        <w:rPr>
          <w:rFonts w:ascii="Times New Roman" w:hAnsi="Times New Roman" w:cs="Times New Roman"/>
          <w:b/>
        </w:rPr>
        <w:t>ë</w:t>
      </w:r>
      <w:r w:rsidRPr="007642EC">
        <w:rPr>
          <w:rFonts w:ascii="Times New Roman" w:hAnsi="Times New Roman" w:cs="Times New Roman"/>
          <w:b/>
        </w:rPr>
        <w:t xml:space="preserve"> hetimit administrativ</w:t>
      </w:r>
    </w:p>
    <w:p w:rsidR="00307625" w:rsidRDefault="00307625" w:rsidP="008847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396649" w:rsidRPr="007642EC" w:rsidRDefault="00396649" w:rsidP="008847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7642EC">
        <w:rPr>
          <w:rFonts w:ascii="Times New Roman" w:hAnsi="Times New Roman" w:cs="Times New Roman"/>
        </w:rPr>
        <w:t>Procedura e hetimit administrativ të kërkesës për mbrojtje</w:t>
      </w:r>
      <w:r w:rsidR="00D30FBC" w:rsidRPr="007642EC">
        <w:rPr>
          <w:rFonts w:ascii="Times New Roman" w:hAnsi="Times New Roman" w:cs="Times New Roman"/>
        </w:rPr>
        <w:t xml:space="preserve"> nga hakmarrja</w:t>
      </w:r>
      <w:r w:rsidRPr="007642EC">
        <w:rPr>
          <w:rFonts w:ascii="Times New Roman" w:hAnsi="Times New Roman" w:cs="Times New Roman"/>
        </w:rPr>
        <w:t xml:space="preserve"> përfundon </w:t>
      </w:r>
      <w:proofErr w:type="gramStart"/>
      <w:r w:rsidRPr="007642EC">
        <w:rPr>
          <w:rFonts w:ascii="Times New Roman" w:hAnsi="Times New Roman" w:cs="Times New Roman"/>
        </w:rPr>
        <w:t>sa</w:t>
      </w:r>
      <w:proofErr w:type="gramEnd"/>
      <w:r w:rsidRPr="007642EC">
        <w:rPr>
          <w:rFonts w:ascii="Times New Roman" w:hAnsi="Times New Roman" w:cs="Times New Roman"/>
        </w:rPr>
        <w:t xml:space="preserve"> më shpejt të jetë e mundur dhe në çdo rast jo më vonë se 60 ditë nga data e regjistrimit të kërkesës. </w:t>
      </w:r>
    </w:p>
    <w:p w:rsidR="002D42A6" w:rsidRPr="007642EC" w:rsidRDefault="002D42A6" w:rsidP="00884745">
      <w:pPr>
        <w:spacing w:line="276" w:lineRule="auto"/>
        <w:jc w:val="both"/>
        <w:rPr>
          <w:rFonts w:ascii="Times New Roman" w:hAnsi="Times New Roman" w:cs="Times New Roman"/>
        </w:rPr>
      </w:pPr>
    </w:p>
    <w:p w:rsidR="00164334" w:rsidRDefault="00164334" w:rsidP="00BF7B4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sectPr w:rsidR="00164334" w:rsidSect="007642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81" w:rsidRDefault="00DB0581" w:rsidP="00DF5B9B">
      <w:r>
        <w:separator/>
      </w:r>
    </w:p>
  </w:endnote>
  <w:endnote w:type="continuationSeparator" w:id="0">
    <w:p w:rsidR="00DB0581" w:rsidRDefault="00DB0581" w:rsidP="00DF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31" w:rsidRDefault="00B5601D" w:rsidP="00711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39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3931" w:rsidRDefault="00F63931" w:rsidP="00DF5B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4C" w:rsidRDefault="007A304C" w:rsidP="007A304C">
    <w:pPr>
      <w:pStyle w:val="Footer"/>
      <w:framePr w:wrap="around" w:vAnchor="text" w:hAnchor="margin" w:xAlign="right" w:y="1"/>
      <w:rPr>
        <w:rStyle w:val="PageNumber"/>
      </w:rPr>
    </w:pPr>
  </w:p>
  <w:p w:rsidR="007772DB" w:rsidRDefault="00B5601D" w:rsidP="007772DB">
    <w:pPr>
      <w:pStyle w:val="Footer"/>
    </w:pPr>
    <w:r>
      <w:rPr>
        <w:rFonts w:ascii="Sylfaen" w:hAnsi="Sylfaen"/>
        <w:color w:val="002060"/>
        <w:sz w:val="20"/>
        <w:szCs w:val="20"/>
      </w:rPr>
      <w:fldChar w:fldCharType="begin"/>
    </w:r>
    <w:r w:rsidR="007772DB">
      <w:rPr>
        <w:rFonts w:ascii="Sylfaen" w:hAnsi="Sylfaen"/>
        <w:color w:val="002060"/>
        <w:sz w:val="20"/>
        <w:szCs w:val="20"/>
      </w:rPr>
      <w:instrText xml:space="preserve"> PAGE   \* MERGEFORMAT </w:instrText>
    </w:r>
    <w:r>
      <w:rPr>
        <w:rFonts w:ascii="Sylfaen" w:hAnsi="Sylfaen"/>
        <w:color w:val="002060"/>
        <w:sz w:val="20"/>
        <w:szCs w:val="20"/>
      </w:rPr>
      <w:fldChar w:fldCharType="separate"/>
    </w:r>
    <w:r w:rsidR="000C7473" w:rsidRPr="000C7473">
      <w:rPr>
        <w:rFonts w:ascii="Sylfaen" w:hAnsi="Sylfaen"/>
        <w:b/>
        <w:noProof/>
        <w:color w:val="002060"/>
        <w:sz w:val="20"/>
        <w:szCs w:val="20"/>
      </w:rPr>
      <w:t>6</w:t>
    </w:r>
    <w:r>
      <w:rPr>
        <w:rFonts w:ascii="Sylfaen" w:hAnsi="Sylfaen"/>
        <w:color w:val="002060"/>
        <w:sz w:val="20"/>
        <w:szCs w:val="20"/>
      </w:rPr>
      <w:fldChar w:fldCharType="end"/>
    </w:r>
    <w:r w:rsidR="007772DB">
      <w:rPr>
        <w:rFonts w:ascii="Sylfaen" w:hAnsi="Sylfaen"/>
        <w:b/>
        <w:color w:val="002060"/>
        <w:sz w:val="20"/>
        <w:szCs w:val="20"/>
      </w:rPr>
      <w:t xml:space="preserve"> </w:t>
    </w:r>
  </w:p>
  <w:tbl>
    <w:tblPr>
      <w:tblW w:w="4871" w:type="pct"/>
      <w:jc w:val="center"/>
      <w:tblInd w:w="-1162" w:type="dxa"/>
      <w:tblBorders>
        <w:top w:val="single" w:sz="4" w:space="0" w:color="8064A2"/>
      </w:tblBorders>
      <w:tblLook w:val="04A0"/>
    </w:tblPr>
    <w:tblGrid>
      <w:gridCol w:w="1351"/>
      <w:gridCol w:w="7978"/>
    </w:tblGrid>
    <w:tr w:rsidR="007772DB" w:rsidRPr="00656A8E" w:rsidTr="0097698D">
      <w:trPr>
        <w:trHeight w:val="80"/>
        <w:jc w:val="center"/>
      </w:trPr>
      <w:tc>
        <w:tcPr>
          <w:tcW w:w="724" w:type="pct"/>
          <w:shd w:val="clear" w:color="auto" w:fill="8064A2"/>
        </w:tcPr>
        <w:p w:rsidR="007772DB" w:rsidRPr="00AB248A" w:rsidRDefault="007772DB" w:rsidP="0097698D">
          <w:pPr>
            <w:pStyle w:val="Footer"/>
            <w:jc w:val="center"/>
            <w:rPr>
              <w:color w:val="FFFFFF"/>
              <w:sz w:val="16"/>
              <w:szCs w:val="16"/>
            </w:rPr>
          </w:pPr>
          <w:r w:rsidRPr="00AB248A">
            <w:rPr>
              <w:sz w:val="16"/>
              <w:szCs w:val="16"/>
            </w:rPr>
            <w:t>Bashkia Kamez</w:t>
          </w:r>
        </w:p>
      </w:tc>
      <w:tc>
        <w:tcPr>
          <w:tcW w:w="4276" w:type="pct"/>
        </w:tcPr>
        <w:p w:rsidR="007772DB" w:rsidRPr="00AB248A" w:rsidRDefault="007772DB" w:rsidP="0097698D">
          <w:pPr>
            <w:pStyle w:val="Footer"/>
            <w:rPr>
              <w:sz w:val="16"/>
              <w:szCs w:val="16"/>
            </w:rPr>
          </w:pPr>
          <w:r w:rsidRPr="00AB248A">
            <w:rPr>
              <w:sz w:val="16"/>
              <w:szCs w:val="16"/>
            </w:rPr>
            <w:t xml:space="preserve">Bulevardi “BLU” Nr 492 Kamez, +355 47 200 177 e-mail: </w:t>
          </w:r>
          <w:hyperlink r:id="rId1" w:history="1">
            <w:r w:rsidRPr="00AB248A">
              <w:rPr>
                <w:rStyle w:val="Hyperlink"/>
                <w:sz w:val="16"/>
                <w:szCs w:val="16"/>
              </w:rPr>
              <w:t>bashkiakamez@gmail.com</w:t>
            </w:r>
          </w:hyperlink>
          <w:r w:rsidRPr="00AB248A">
            <w:rPr>
              <w:sz w:val="16"/>
              <w:szCs w:val="16"/>
            </w:rPr>
            <w:t>, www.kamza.gov.al</w:t>
          </w:r>
        </w:p>
      </w:tc>
    </w:tr>
  </w:tbl>
  <w:p w:rsidR="007772DB" w:rsidRDefault="007772DB" w:rsidP="007772DB">
    <w:pPr>
      <w:pStyle w:val="Footer"/>
    </w:pPr>
  </w:p>
  <w:p w:rsidR="00F63931" w:rsidRDefault="00F63931" w:rsidP="00DF5B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81" w:rsidRDefault="00DB0581" w:rsidP="00DF5B9B">
      <w:r>
        <w:separator/>
      </w:r>
    </w:p>
  </w:footnote>
  <w:footnote w:type="continuationSeparator" w:id="0">
    <w:p w:rsidR="00DB0581" w:rsidRDefault="00DB0581" w:rsidP="00DF5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103"/>
    <w:multiLevelType w:val="hybridMultilevel"/>
    <w:tmpl w:val="C89A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E1590"/>
    <w:multiLevelType w:val="hybridMultilevel"/>
    <w:tmpl w:val="BD8C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70A0E"/>
    <w:multiLevelType w:val="hybridMultilevel"/>
    <w:tmpl w:val="BBA6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47540"/>
    <w:multiLevelType w:val="hybridMultilevel"/>
    <w:tmpl w:val="C1E2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B6653"/>
    <w:multiLevelType w:val="hybridMultilevel"/>
    <w:tmpl w:val="687235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0760A"/>
    <w:multiLevelType w:val="hybridMultilevel"/>
    <w:tmpl w:val="6A50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689A"/>
    <w:multiLevelType w:val="hybridMultilevel"/>
    <w:tmpl w:val="C446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C44EF"/>
    <w:multiLevelType w:val="hybridMultilevel"/>
    <w:tmpl w:val="90A6C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399F"/>
    <w:multiLevelType w:val="hybridMultilevel"/>
    <w:tmpl w:val="B32C1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077B8"/>
    <w:multiLevelType w:val="hybridMultilevel"/>
    <w:tmpl w:val="29BE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690C"/>
    <w:rsid w:val="00017DF5"/>
    <w:rsid w:val="00022674"/>
    <w:rsid w:val="000304B1"/>
    <w:rsid w:val="00045460"/>
    <w:rsid w:val="00046793"/>
    <w:rsid w:val="0005450B"/>
    <w:rsid w:val="00067DC1"/>
    <w:rsid w:val="00067F23"/>
    <w:rsid w:val="0008089E"/>
    <w:rsid w:val="000812E3"/>
    <w:rsid w:val="000A7B4A"/>
    <w:rsid w:val="000B7D2A"/>
    <w:rsid w:val="000C7473"/>
    <w:rsid w:val="00131D3F"/>
    <w:rsid w:val="00135256"/>
    <w:rsid w:val="0016254F"/>
    <w:rsid w:val="00164334"/>
    <w:rsid w:val="001812D0"/>
    <w:rsid w:val="001A6911"/>
    <w:rsid w:val="001C037E"/>
    <w:rsid w:val="001C76D0"/>
    <w:rsid w:val="001F1966"/>
    <w:rsid w:val="00200A8E"/>
    <w:rsid w:val="00257324"/>
    <w:rsid w:val="00284433"/>
    <w:rsid w:val="00285B34"/>
    <w:rsid w:val="002A53B2"/>
    <w:rsid w:val="002D42A6"/>
    <w:rsid w:val="002D4B17"/>
    <w:rsid w:val="002F591A"/>
    <w:rsid w:val="00307625"/>
    <w:rsid w:val="00346185"/>
    <w:rsid w:val="00394BBB"/>
    <w:rsid w:val="00396649"/>
    <w:rsid w:val="003B0957"/>
    <w:rsid w:val="003D4CA7"/>
    <w:rsid w:val="003E53A1"/>
    <w:rsid w:val="0047729E"/>
    <w:rsid w:val="00490E93"/>
    <w:rsid w:val="004C1B22"/>
    <w:rsid w:val="004C4BDE"/>
    <w:rsid w:val="004D5904"/>
    <w:rsid w:val="004D5C22"/>
    <w:rsid w:val="004E5F99"/>
    <w:rsid w:val="004F1FE1"/>
    <w:rsid w:val="004F5D9F"/>
    <w:rsid w:val="00522270"/>
    <w:rsid w:val="00531776"/>
    <w:rsid w:val="00544D56"/>
    <w:rsid w:val="005D26BA"/>
    <w:rsid w:val="00632769"/>
    <w:rsid w:val="00660C98"/>
    <w:rsid w:val="00664D77"/>
    <w:rsid w:val="006704A9"/>
    <w:rsid w:val="006B5FBA"/>
    <w:rsid w:val="006D1BCC"/>
    <w:rsid w:val="006F3673"/>
    <w:rsid w:val="00711BA1"/>
    <w:rsid w:val="00740E6E"/>
    <w:rsid w:val="0076341C"/>
    <w:rsid w:val="007642EC"/>
    <w:rsid w:val="007772DB"/>
    <w:rsid w:val="00783EF3"/>
    <w:rsid w:val="007A200F"/>
    <w:rsid w:val="007A304C"/>
    <w:rsid w:val="007E16BD"/>
    <w:rsid w:val="007E5E4F"/>
    <w:rsid w:val="00825E49"/>
    <w:rsid w:val="00827933"/>
    <w:rsid w:val="008469A0"/>
    <w:rsid w:val="00850E20"/>
    <w:rsid w:val="0087361F"/>
    <w:rsid w:val="00884745"/>
    <w:rsid w:val="008A20B8"/>
    <w:rsid w:val="008C264F"/>
    <w:rsid w:val="008E5188"/>
    <w:rsid w:val="008F54F4"/>
    <w:rsid w:val="009270BC"/>
    <w:rsid w:val="0095180A"/>
    <w:rsid w:val="00951A89"/>
    <w:rsid w:val="00994571"/>
    <w:rsid w:val="009F27B6"/>
    <w:rsid w:val="00A168A5"/>
    <w:rsid w:val="00A42A03"/>
    <w:rsid w:val="00A6005A"/>
    <w:rsid w:val="00A71982"/>
    <w:rsid w:val="00B0690C"/>
    <w:rsid w:val="00B5601D"/>
    <w:rsid w:val="00B66880"/>
    <w:rsid w:val="00B7355C"/>
    <w:rsid w:val="00B80BF0"/>
    <w:rsid w:val="00B84FB1"/>
    <w:rsid w:val="00BC7A61"/>
    <w:rsid w:val="00BE0657"/>
    <w:rsid w:val="00BE6996"/>
    <w:rsid w:val="00BF7B4B"/>
    <w:rsid w:val="00C11446"/>
    <w:rsid w:val="00C319B3"/>
    <w:rsid w:val="00C667CB"/>
    <w:rsid w:val="00CA689D"/>
    <w:rsid w:val="00CB7737"/>
    <w:rsid w:val="00CC061D"/>
    <w:rsid w:val="00CC475F"/>
    <w:rsid w:val="00CE18DF"/>
    <w:rsid w:val="00CF514F"/>
    <w:rsid w:val="00CF585C"/>
    <w:rsid w:val="00D27D8E"/>
    <w:rsid w:val="00D30FBC"/>
    <w:rsid w:val="00D31E11"/>
    <w:rsid w:val="00D32843"/>
    <w:rsid w:val="00D437E7"/>
    <w:rsid w:val="00D807E8"/>
    <w:rsid w:val="00D85549"/>
    <w:rsid w:val="00D86DF3"/>
    <w:rsid w:val="00DA0A23"/>
    <w:rsid w:val="00DB0581"/>
    <w:rsid w:val="00DE1814"/>
    <w:rsid w:val="00DE6948"/>
    <w:rsid w:val="00DF1867"/>
    <w:rsid w:val="00DF5B9B"/>
    <w:rsid w:val="00DF5E9A"/>
    <w:rsid w:val="00E0412B"/>
    <w:rsid w:val="00E05FF9"/>
    <w:rsid w:val="00E12314"/>
    <w:rsid w:val="00E17684"/>
    <w:rsid w:val="00E3001D"/>
    <w:rsid w:val="00E61DD2"/>
    <w:rsid w:val="00E6430A"/>
    <w:rsid w:val="00E8040F"/>
    <w:rsid w:val="00E83BBC"/>
    <w:rsid w:val="00E87CD1"/>
    <w:rsid w:val="00EA02D1"/>
    <w:rsid w:val="00EC3A49"/>
    <w:rsid w:val="00ED4E7D"/>
    <w:rsid w:val="00EE00A8"/>
    <w:rsid w:val="00EF6307"/>
    <w:rsid w:val="00F16ED4"/>
    <w:rsid w:val="00F30072"/>
    <w:rsid w:val="00F42758"/>
    <w:rsid w:val="00F45938"/>
    <w:rsid w:val="00F63931"/>
    <w:rsid w:val="00F64F51"/>
    <w:rsid w:val="00FB0DD5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8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D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5B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9B"/>
  </w:style>
  <w:style w:type="character" w:styleId="PageNumber">
    <w:name w:val="page number"/>
    <w:basedOn w:val="DefaultParagraphFont"/>
    <w:uiPriority w:val="99"/>
    <w:semiHidden/>
    <w:unhideWhenUsed/>
    <w:rsid w:val="00DF5B9B"/>
  </w:style>
  <w:style w:type="paragraph" w:styleId="ListParagraph">
    <w:name w:val="List Paragraph"/>
    <w:basedOn w:val="Normal"/>
    <w:uiPriority w:val="34"/>
    <w:qFormat/>
    <w:rsid w:val="00394B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FE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7642E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3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4C"/>
  </w:style>
  <w:style w:type="character" w:styleId="Hyperlink">
    <w:name w:val="Hyperlink"/>
    <w:basedOn w:val="DefaultParagraphFont"/>
    <w:uiPriority w:val="99"/>
    <w:unhideWhenUsed/>
    <w:rsid w:val="007772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gumi</dc:creator>
  <cp:lastModifiedBy>Besa Doda</cp:lastModifiedBy>
  <cp:revision>8</cp:revision>
  <cp:lastPrinted>2019-01-11T09:09:00Z</cp:lastPrinted>
  <dcterms:created xsi:type="dcterms:W3CDTF">2017-11-02T17:36:00Z</dcterms:created>
  <dcterms:modified xsi:type="dcterms:W3CDTF">2020-03-11T17:06:00Z</dcterms:modified>
</cp:coreProperties>
</file>